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9.png" ContentType="image/png"/>
  <Override PartName="/word/media/rId51.png" ContentType="image/png"/>
  <Override PartName="/word/media/rId56.png" ContentType="image/png"/>
  <Override PartName="/word/media/rId76.png" ContentType="image/png"/>
  <Override PartName="/word/media/rId59.png" ContentType="image/png"/>
  <Override PartName="/word/media/rId44.png" ContentType="image/png"/>
  <Override PartName="/word/media/rId47.png" ContentType="image/png"/>
  <Override PartName="/word/media/rId79.png" ContentType="image/png"/>
  <Override PartName="/word/media/rId70.png" ContentType="image/png"/>
  <Override PartName="/word/media/rId72.png" ContentType="image/png"/>
  <Override PartName="/word/media/rId71.png" ContentType="image/png"/>
  <Override PartName="/word/media/rId75.png" ContentType="image/png"/>
  <Override PartName="/word/media/rId77.png" ContentType="image/png"/>
  <Override PartName="/word/media/rId81.png" ContentType="image/png"/>
  <Default Extension="png" ContentType="image/png"/>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Schema-Guided</w:t>
      </w:r>
      <w:r>
        <w:t xml:space="preserve"> </w:t>
      </w:r>
      <w:r>
        <w:t xml:space="preserve">Breadth-First</w:t>
      </w:r>
      <w:r>
        <w:t xml:space="preserve"> </w:t>
      </w:r>
      <w:r>
        <w:t xml:space="preserve">Discovery</w:t>
      </w:r>
      <w:r>
        <w:t xml:space="preserve"> </w:t>
      </w:r>
      <w:r>
        <w:t xml:space="preserve">of</w:t>
      </w:r>
      <w:r>
        <w:t xml:space="preserve"> </w:t>
      </w:r>
      <w:r>
        <w:t xml:space="preserve">Hardware</w:t>
      </w:r>
      <w:r>
        <w:t xml:space="preserve"> </w:t>
      </w:r>
      <w:r>
        <w:t xml:space="preserve">Resources</w:t>
      </w:r>
      <w:r>
        <w:t xml:space="preserve"> </w:t>
      </w:r>
      <w:r>
        <w:t xml:space="preserve">in</w:t>
      </w:r>
      <w:r>
        <w:t xml:space="preserve"> </w:t>
      </w:r>
      <w:r>
        <w:t xml:space="preserve">Heterogeneous</w:t>
      </w:r>
      <w:r>
        <w:t xml:space="preserve"> </w:t>
      </w:r>
      <w:r>
        <w:t xml:space="preserve">Redfish</w:t>
      </w:r>
      <w:r>
        <w:t xml:space="preserve"> </w:t>
      </w:r>
      <w:r>
        <w:t xml:space="preserve">Services</w:t>
      </w:r>
    </w:p>
    <w:p>
      <w:pPr>
        <w:pStyle w:val="Subtitle"/>
      </w:pPr>
      <w:r>
        <w:t xml:space="preserve">Master’s</w:t>
      </w:r>
      <w:r>
        <w:t xml:space="preserve"> </w:t>
      </w:r>
      <w:r>
        <w:t xml:space="preserve">Thesis</w:t>
      </w:r>
    </w:p>
    <w:p>
      <w:pPr>
        <w:pStyle w:val="Author"/>
      </w:pPr>
      <w:r>
        <w:t xml:space="preserve">[Author</w:t>
      </w:r>
      <w:r>
        <w:t xml:space="preserve"> </w:t>
      </w:r>
      <w:r>
        <w:t xml:space="preserve">Name]</w:t>
      </w:r>
      <w:r>
        <w:t xml:space="preserve"> </w:t>
      </w:r>
      <w:r>
        <w:t xml:space="preserve">—</w:t>
      </w:r>
      <w:r>
        <w:t xml:space="preserve"> </w:t>
      </w:r>
      <w:r>
        <w:t xml:space="preserve">[University</w:t>
      </w:r>
      <w:r>
        <w:t xml:space="preserve"> </w:t>
      </w:r>
      <w:r>
        <w:t xml:space="preserve">Name],</w:t>
      </w:r>
      <w:r>
        <w:t xml:space="preserve"> </w:t>
      </w:r>
      <w:r>
        <w:t xml:space="preserve">[Faculty</w:t>
      </w:r>
      <w:r>
        <w:t xml:space="preserve"> </w:t>
      </w:r>
      <w:r>
        <w:t xml:space="preserve">/</w:t>
      </w:r>
      <w:r>
        <w:t xml:space="preserve"> </w:t>
      </w:r>
      <w:r>
        <w:t xml:space="preserve">Department</w:t>
      </w:r>
      <w:r>
        <w:t xml:space="preserve"> </w:t>
      </w:r>
      <w:r>
        <w:t xml:space="preserve">of</w:t>
      </w:r>
      <w:r>
        <w:t xml:space="preserve"> </w:t>
      </w:r>
      <w:r>
        <w:t xml:space="preserve">Computer</w:t>
      </w:r>
      <w:r>
        <w:t xml:space="preserve"> </w:t>
      </w:r>
      <w:r>
        <w:t xml:space="preserve">Science]</w:t>
      </w:r>
    </w:p>
    <w:p>
      <w:pPr>
        <w:pStyle w:val="Author"/>
      </w:pPr>
      <w:r>
        <w:t xml:space="preserve">Supervisor:</w:t>
      </w:r>
      <w:r>
        <w:t xml:space="preserve"> </w:t>
      </w:r>
      <w:r>
        <w:t xml:space="preserve">[Supervisor</w:t>
      </w:r>
      <w:r>
        <w:t xml:space="preserve"> </w:t>
      </w:r>
      <w:r>
        <w:t xml:space="preserve">Name]</w:t>
      </w:r>
    </w:p>
    <w:p>
      <w:pPr>
        <w:pStyle w:val="Date"/>
      </w:pPr>
      <w:r>
        <w:t xml:space="preserve">[Month</w:t>
      </w:r>
      <w:r>
        <w:t xml:space="preserve"> </w:t>
      </w:r>
      <w:r>
        <w:t xml:space="preserve">Year]</w:t>
      </w:r>
    </w:p>
    <w:sdt>
      <w:sdtPr>
        <w:docPartObj>
          <w:docPartGallery w:val="Table of Contents"/>
          <w:docPartUnique/>
        </w:docPartObj>
      </w:sdtPr>
      <w:sdtContent>
        <w:p>
          <w:pPr>
            <w:pStyle w:val="TOCHeading"/>
          </w:pPr>
          <w:r>
            <w:t xml:space="preserve">Contents</w:t>
          </w:r>
        </w:p>
        <w:p>
          <w:r>
            <w:fldChar w:fldCharType="begin" w:dirty="true"/>
            <w:instrText xml:space="preserve">TOC \o "1-2" \h \z \u</w:instrText>
            <w:fldChar w:fldCharType="separate"/>
            <w:fldChar w:fldCharType="end"/>
          </w:r>
        </w:p>
      </w:sdtContent>
    </w:sdt>
    <w:bookmarkStart w:id="20" w:name="abstract"/>
    <w:p>
      <w:pPr>
        <w:pStyle w:val="Heading1"/>
      </w:pPr>
      <w:r>
        <w:t xml:space="preserve">Abstract</w:t>
      </w:r>
    </w:p>
    <w:p>
      <w:pPr>
        <w:pStyle w:val="FirstParagraph"/>
      </w:pPr>
      <w:r>
        <w:t xml:space="preserve">The DMTF Redfish standard replaced the Intelligent Platform Management Interface</w:t>
      </w:r>
      <w:r>
        <w:t xml:space="preserve"> </w:t>
      </w:r>
      <w:r>
        <w:t xml:space="preserve">(IPMI) with a RESTful, hypermedia-driven interface to the Baseboard Management</w:t>
      </w:r>
      <w:r>
        <w:t xml:space="preserve"> </w:t>
      </w:r>
      <w:r>
        <w:t xml:space="preserve">Controller (BMC) of a server. In principle a client needs to know only one URI,</w:t>
      </w:r>
      <w:r>
        <w:t xml:space="preserve"> </w:t>
      </w:r>
      <w:r>
        <w:t xml:space="preserve">the service root</w:t>
      </w:r>
      <w:r>
        <w:t xml:space="preserve"> </w:t>
      </w:r>
      <w:r>
        <w:rPr>
          <w:rStyle w:val="VerbatimChar"/>
        </w:rPr>
        <w:t xml:space="preserve">/redfish/v1</w:t>
      </w:r>
      <w:r>
        <w:t xml:space="preserve">; every other resource is reached by following</w:t>
      </w:r>
      <w:r>
        <w:t xml:space="preserve"> </w:t>
      </w:r>
      <w:r>
        <w:t xml:space="preserve">links. In practice, monitoring tools are written against a fixed set of URI</w:t>
      </w:r>
      <w:r>
        <w:t xml:space="preserve"> </w:t>
      </w:r>
      <w:r>
        <w:t xml:space="preserve">paths, and those paths differ between vendors, firmware generations and schema</w:t>
      </w:r>
      <w:r>
        <w:t xml:space="preserve"> </w:t>
      </w:r>
      <w:r>
        <w:t xml:space="preserve">releases: power supplies live under</w:t>
      </w:r>
      <w:r>
        <w:t xml:space="preserve"> </w:t>
      </w:r>
      <w:r>
        <w:rPr>
          <w:rStyle w:val="VerbatimChar"/>
        </w:rPr>
        <w:t xml:space="preserve">Chassis/{id}/Power</w:t>
      </w:r>
      <w:r>
        <w:t xml:space="preserve"> </w:t>
      </w:r>
      <w:r>
        <w:t xml:space="preserve">in one server and</w:t>
      </w:r>
      <w:r>
        <w:t xml:space="preserve"> </w:t>
      </w:r>
      <w:r>
        <w:t xml:space="preserve">under</w:t>
      </w:r>
      <w:r>
        <w:t xml:space="preserve"> </w:t>
      </w:r>
      <w:r>
        <w:rPr>
          <w:rStyle w:val="VerbatimChar"/>
        </w:rPr>
        <w:t xml:space="preserve">Chassis/{id}/PowerSubsystem/PowerSupplies</w:t>
      </w:r>
      <w:r>
        <w:t xml:space="preserve"> </w:t>
      </w:r>
      <w:r>
        <w:t xml:space="preserve">in the next; drives can</w:t>
      </w:r>
      <w:r>
        <w:t xml:space="preserve"> </w:t>
      </w:r>
      <w:r>
        <w:t xml:space="preserve">hang below</w:t>
      </w:r>
      <w:r>
        <w:t xml:space="preserve"> </w:t>
      </w:r>
      <w:r>
        <w:rPr>
          <w:rStyle w:val="VerbatimChar"/>
        </w:rPr>
        <w:t xml:space="preserve">SimpleStorage</w:t>
      </w:r>
      <w:r>
        <w:t xml:space="preserve">,</w:t>
      </w:r>
      <w:r>
        <w:t xml:space="preserve"> </w:t>
      </w:r>
      <w:r>
        <w:rPr>
          <w:rStyle w:val="VerbatimChar"/>
        </w:rPr>
        <w:t xml:space="preserve">Storage</w:t>
      </w:r>
      <w:r>
        <w:t xml:space="preserve"> </w:t>
      </w:r>
      <w:r>
        <w:t xml:space="preserve">or directly below the chassis.</w:t>
      </w:r>
      <w:r>
        <w:t xml:space="preserve"> </w:t>
      </w:r>
      <w:r>
        <w:t xml:space="preserve">Hard-coded navigation therefore silently loses components whenever the monitored</w:t>
      </w:r>
      <w:r>
        <w:t xml:space="preserve"> </w:t>
      </w:r>
      <w:r>
        <w:t xml:space="preserve">fleet changes.</w:t>
      </w:r>
    </w:p>
    <w:p>
      <w:pPr>
        <w:pStyle w:val="BodyText"/>
      </w:pPr>
      <w:r>
        <w:t xml:space="preserve">This thesis treats the Redfish service as what the standard says it is, a graph</w:t>
      </w:r>
      <w:r>
        <w:t xml:space="preserve"> </w:t>
      </w:r>
      <w:r>
        <w:t xml:space="preserve">of typed resources, and turns the question</w:t>
      </w:r>
      <w:r>
        <w:t xml:space="preserve"> </w:t>
      </w:r>
      <w:r>
        <w:t xml:space="preserve">“</w:t>
      </w:r>
      <w:r>
        <w:t xml:space="preserve">which URI do I call for the power</w:t>
      </w:r>
      <w:r>
        <w:t xml:space="preserve"> </w:t>
      </w:r>
      <w:r>
        <w:t xml:space="preserve">supplies?</w:t>
      </w:r>
      <w:r>
        <w:t xml:space="preserve">”</w:t>
      </w:r>
      <w:r>
        <w:t xml:space="preserve"> </w:t>
      </w:r>
      <w:r>
        <w:t xml:space="preserve">into a graph search. The resource graph is restricted to its</w:t>
      </w:r>
      <w:r>
        <w:t xml:space="preserve"> </w:t>
      </w:r>
      <w:r>
        <w:t xml:space="preserve">containment edges, which yields an almost-tree rooted at the service root, and</w:t>
      </w:r>
      <w:r>
        <w:t xml:space="preserve"> </w:t>
      </w:r>
      <w:r>
        <w:t xml:space="preserve">the monitored components are described declaratively by their schema types</w:t>
      </w:r>
      <w:r>
        <w:t xml:space="preserve"> </w:t>
      </w:r>
      <w:r>
        <w:t xml:space="preserve">(e.g. </w:t>
      </w:r>
      <w:r>
        <w:rPr>
          <w:rStyle w:val="VerbatimChar"/>
        </w:rPr>
        <w:t xml:space="preserve">PowerSupply</w:t>
      </w:r>
      <w:r>
        <w:t xml:space="preserve">) rather than by their location. A breadth-first search</w:t>
      </w:r>
      <w:r>
        <w:t xml:space="preserve"> </w:t>
      </w:r>
      <w:r>
        <w:t xml:space="preserve">(BFS) over this tree finds every instance of the requested types regardless of</w:t>
      </w:r>
      <w:r>
        <w:t xml:space="preserve"> </w:t>
      </w:r>
      <w:r>
        <w:t xml:space="preserve">where a vendor placed them. To make the search affordable on slow BMCs, the</w:t>
      </w:r>
      <w:r>
        <w:t xml:space="preserve"> </w:t>
      </w:r>
      <w:r>
        <w:t xml:space="preserve">thesis derives a</w:t>
      </w:r>
      <w:r>
        <w:t xml:space="preserve"> </w:t>
      </w:r>
      <w:r>
        <w:rPr>
          <w:iCs/>
          <w:i/>
        </w:rPr>
        <w:t xml:space="preserve">type reachability graph</w:t>
      </w:r>
      <w:r>
        <w:t xml:space="preserve"> </w:t>
      </w:r>
      <w:r>
        <w:t xml:space="preserve">from the published DMTF JSON</w:t>
      </w:r>
      <w:r>
        <w:t xml:space="preserve"> </w:t>
      </w:r>
      <w:r>
        <w:t xml:space="preserve">Schema bundle and uses it to prune, before any request is sent, every subtree</w:t>
      </w:r>
      <w:r>
        <w:t xml:space="preserve"> </w:t>
      </w:r>
      <w:r>
        <w:t xml:space="preserve">that cannot contain a requested type. The resulting algorithm, schema-pruned</w:t>
      </w:r>
      <w:r>
        <w:t xml:space="preserve"> </w:t>
      </w:r>
      <w:r>
        <w:t xml:space="preserve">BFS (SP-BFS), is proven sound for schema-conformant services, falls back to</w:t>
      </w:r>
      <w:r>
        <w:t xml:space="preserve"> </w:t>
      </w:r>
      <w:r>
        <w:t xml:space="preserve">conservative expansion for vendor extensions, handles legacy embedded arrays,</w:t>
      </w:r>
      <w:r>
        <w:t xml:space="preserve"> </w:t>
      </w:r>
      <w:r>
        <w:t xml:space="preserve">and exposes level-synchronous parallelism.</w:t>
      </w:r>
    </w:p>
    <w:p>
      <w:pPr>
        <w:pStyle w:val="BodyText"/>
      </w:pPr>
      <w:r>
        <w:t xml:space="preserve">The approach is evaluated on 26 recorded Redfish services from six sources</w:t>
      </w:r>
      <w:r>
        <w:t xml:space="preserve"> </w:t>
      </w:r>
      <w:r>
        <w:t xml:space="preserve">(DMTF reference mockups, Dell iDRAC, HPE iLO, HPE Cray EX, Gigabyte and Intel)</w:t>
      </w:r>
      <w:r>
        <w:t xml:space="preserve"> </w:t>
      </w:r>
      <w:r>
        <w:t xml:space="preserve">spanning Redfish protocol versions 1.0.2 to 1.20.0. Hard-coded navigation written</w:t>
      </w:r>
      <w:r>
        <w:t xml:space="preserve"> </w:t>
      </w:r>
      <w:r>
        <w:t xml:space="preserve">for one schema generation recovers only 49 % (modern paths) or 78 % (legacy</w:t>
      </w:r>
      <w:r>
        <w:t xml:space="preserve"> </w:t>
      </w:r>
      <w:r>
        <w:t xml:space="preserve">paths) of the 2</w:t>
      </w:r>
      <w:r>
        <w:t xml:space="preserve">,</w:t>
      </w:r>
      <w:r>
        <w:t xml:space="preserve">248 monitored components; even a hand-maintained union of both</w:t>
      </w:r>
      <w:r>
        <w:t xml:space="preserve"> </w:t>
      </w:r>
      <w:r>
        <w:t xml:space="preserve">misses storage devices on three HPE servers. SP-BFS recovers 99.7 % of the</w:t>
      </w:r>
      <w:r>
        <w:t xml:space="preserve"> </w:t>
      </w:r>
      <w:r>
        <w:t xml:space="preserve">components, exactly as many as an exhaustive tree traversal, while issuing</w:t>
      </w:r>
      <w:r>
        <w:t xml:space="preserve"> </w:t>
      </w:r>
      <w:r>
        <w:t xml:space="preserve">3.9</w:t>
      </w:r>
      <m:oMath>
        <m:r>
          <m:rPr>
            <m:sty m:val="p"/>
          </m:rPr>
          <m:t>×</m:t>
        </m:r>
      </m:oMath>
      <w:r>
        <w:t xml:space="preserve"> </w:t>
      </w:r>
      <w:r>
        <w:t xml:space="preserve">fewer HTTP requests in total (5</w:t>
      </w:r>
      <m:oMath>
        <m:r>
          <m:rPr>
            <m:sty m:val="p"/>
          </m:rPr>
          <m:t>×</m:t>
        </m:r>
      </m:oMath>
      <w:r>
        <w:t xml:space="preserve"> </w:t>
      </w:r>
      <w:r>
        <w:t xml:space="preserve">in geometric mean per server).</w:t>
      </w:r>
      <w:r>
        <w:t xml:space="preserve"> </w:t>
      </w:r>
      <w:r>
        <w:t xml:space="preserve">Its request count is within a factor of 1.22 (geometric mean) of the</w:t>
      </w:r>
      <w:r>
        <w:t xml:space="preserve"> </w:t>
      </w:r>
      <w:r>
        <w:t xml:space="preserve">hand-maintained union, without any vendor-specific code. With 16 concurrent</w:t>
      </w:r>
      <w:r>
        <w:t xml:space="preserve"> </w:t>
      </w:r>
      <w:r>
        <w:t xml:space="preserve">requests the discovery of all servers fits into 333 request rounds instead of</w:t>
      </w:r>
      <w:r>
        <w:t xml:space="preserve"> </w:t>
      </w:r>
      <w:r>
        <w:t xml:space="preserve">3</w:t>
      </w:r>
      <w:r>
        <w:t xml:space="preserve">,</w:t>
      </w:r>
      <w:r>
        <w:t xml:space="preserve">461. The thesis concludes that schema-guided graph search is a practical way</w:t>
      </w:r>
      <w:r>
        <w:t xml:space="preserve"> </w:t>
      </w:r>
      <w:r>
        <w:t xml:space="preserve">to make Redfish monitoring robust against vendor and version heterogeneity.</w:t>
      </w:r>
    </w:p>
    <w:p>
      <w:pPr>
        <w:pStyle w:val="BodyText"/>
      </w:pPr>
      <w:r>
        <w:rPr>
          <w:bCs/>
          <w:b/>
        </w:rPr>
        <w:t xml:space="preserve">Keywords:</w:t>
      </w:r>
      <w:r>
        <w:t xml:space="preserve"> </w:t>
      </w:r>
      <w:r>
        <w:t xml:space="preserve">Redfish, out-of-band management, Baseboard</w:t>
      </w:r>
      <w:r>
        <w:t xml:space="preserve"> </w:t>
      </w:r>
      <w:r>
        <w:t xml:space="preserve">Management Controller, hardware monitoring, REST, hypermedia, breadth-first</w:t>
      </w:r>
      <w:r>
        <w:t xml:space="preserve"> </w:t>
      </w:r>
      <w:r>
        <w:t xml:space="preserve">search, schema-guided traversal, interoperability.</w:t>
      </w:r>
    </w:p>
    <w:bookmarkEnd w:id="20"/>
    <w:bookmarkStart w:id="21" w:name="list-of-abbreviations"/>
    <w:p>
      <w:pPr>
        <w:pStyle w:val="Heading1"/>
      </w:pPr>
      <w:r>
        <w:t xml:space="preserve">List of Abbreviations</w:t>
      </w:r>
    </w:p>
    <w:tbl>
      <w:tblPr>
        <w:tblStyle w:val="Table"/>
        <w:tblW w:type="dxa" w:w="8618"/>
        <w:jc w:val="center"/>
        <w:tblLook w:firstRow="0" w:lastRow="0" w:firstColumn="0" w:lastColumn="0" w:noHBand="0" w:noVBand="0" w:val="0000"/>
      </w:tblPr>
      <w:tblGrid>
        <w:gridCol w:w="1603"/>
        <w:gridCol w:w="7015"/>
      </w:tblGrid>
      <w:tr>
        <w:tc>
          <w:tcPr>
            <w:tcW w:type="dxa" w:w="1603"/>
          </w:tcPr>
          <w:p>
            <w:pPr>
              <w:pStyle w:val="TableText"/>
              <w:jc w:val="left"/>
            </w:pPr>
            <w:r>
              <w:t xml:space="preserve">API</w:t>
            </w:r>
          </w:p>
        </w:tc>
        <w:tc>
          <w:tcPr>
            <w:tcW w:type="dxa" w:w="7015"/>
          </w:tcPr>
          <w:p>
            <w:pPr>
              <w:pStyle w:val="TableText"/>
              <w:jc w:val="left"/>
            </w:pPr>
            <w:r>
              <w:t xml:space="preserve">Application Programming Interface</w:t>
            </w:r>
          </w:p>
        </w:tc>
      </w:tr>
      <w:tr>
        <w:tc>
          <w:tcPr>
            <w:tcW w:type="dxa" w:w="1603"/>
          </w:tcPr>
          <w:p>
            <w:pPr>
              <w:pStyle w:val="TableText"/>
              <w:jc w:val="left"/>
            </w:pPr>
            <w:r>
              <w:t xml:space="preserve">BFS</w:t>
            </w:r>
          </w:p>
        </w:tc>
        <w:tc>
          <w:tcPr>
            <w:tcW w:type="dxa" w:w="7015"/>
          </w:tcPr>
          <w:p>
            <w:pPr>
              <w:pStyle w:val="TableText"/>
              <w:jc w:val="left"/>
            </w:pPr>
            <w:r>
              <w:t xml:space="preserve">Breadth-First Search</w:t>
            </w:r>
          </w:p>
        </w:tc>
      </w:tr>
      <w:tr>
        <w:tc>
          <w:tcPr>
            <w:tcW w:type="dxa" w:w="1603"/>
          </w:tcPr>
          <w:p>
            <w:pPr>
              <w:pStyle w:val="TableText"/>
              <w:jc w:val="left"/>
            </w:pPr>
            <w:r>
              <w:t xml:space="preserve">BMC</w:t>
            </w:r>
          </w:p>
        </w:tc>
        <w:tc>
          <w:tcPr>
            <w:tcW w:type="dxa" w:w="7015"/>
          </w:tcPr>
          <w:p>
            <w:pPr>
              <w:pStyle w:val="TableText"/>
              <w:jc w:val="left"/>
            </w:pPr>
            <w:r>
              <w:t xml:space="preserve">Baseboard Management Controller</w:t>
            </w:r>
          </w:p>
        </w:tc>
      </w:tr>
      <w:tr>
        <w:tc>
          <w:tcPr>
            <w:tcW w:type="dxa" w:w="1603"/>
          </w:tcPr>
          <w:p>
            <w:pPr>
              <w:pStyle w:val="TableText"/>
              <w:jc w:val="left"/>
            </w:pPr>
            <w:r>
              <w:t xml:space="preserve">CSDL</w:t>
            </w:r>
          </w:p>
        </w:tc>
        <w:tc>
          <w:tcPr>
            <w:tcW w:type="dxa" w:w="7015"/>
          </w:tcPr>
          <w:p>
            <w:pPr>
              <w:pStyle w:val="TableText"/>
              <w:jc w:val="left"/>
            </w:pPr>
            <w:r>
              <w:t xml:space="preserve">Common Schema Definition Language (OData)</w:t>
            </w:r>
          </w:p>
        </w:tc>
      </w:tr>
      <w:tr>
        <w:tc>
          <w:tcPr>
            <w:tcW w:type="dxa" w:w="1603"/>
          </w:tcPr>
          <w:p>
            <w:pPr>
              <w:pStyle w:val="TableText"/>
              <w:jc w:val="left"/>
            </w:pPr>
            <w:r>
              <w:t xml:space="preserve">DCIM</w:t>
            </w:r>
          </w:p>
        </w:tc>
        <w:tc>
          <w:tcPr>
            <w:tcW w:type="dxa" w:w="7015"/>
          </w:tcPr>
          <w:p>
            <w:pPr>
              <w:pStyle w:val="TableText"/>
              <w:jc w:val="left"/>
            </w:pPr>
            <w:r>
              <w:t xml:space="preserve">Data Center Infrastructure Management</w:t>
            </w:r>
          </w:p>
        </w:tc>
      </w:tr>
      <w:tr>
        <w:tc>
          <w:tcPr>
            <w:tcW w:type="dxa" w:w="1603"/>
          </w:tcPr>
          <w:p>
            <w:pPr>
              <w:pStyle w:val="TableText"/>
              <w:jc w:val="left"/>
            </w:pPr>
            <w:r>
              <w:t xml:space="preserve">DFS</w:t>
            </w:r>
          </w:p>
        </w:tc>
        <w:tc>
          <w:tcPr>
            <w:tcW w:type="dxa" w:w="7015"/>
          </w:tcPr>
          <w:p>
            <w:pPr>
              <w:pStyle w:val="TableText"/>
              <w:jc w:val="left"/>
            </w:pPr>
            <w:r>
              <w:t xml:space="preserve">Depth-First Search</w:t>
            </w:r>
          </w:p>
        </w:tc>
      </w:tr>
      <w:tr>
        <w:tc>
          <w:tcPr>
            <w:tcW w:type="dxa" w:w="1603"/>
          </w:tcPr>
          <w:p>
            <w:pPr>
              <w:pStyle w:val="TableText"/>
              <w:jc w:val="left"/>
            </w:pPr>
            <w:r>
              <w:t xml:space="preserve">DMTF</w:t>
            </w:r>
          </w:p>
        </w:tc>
        <w:tc>
          <w:tcPr>
            <w:tcW w:type="dxa" w:w="7015"/>
          </w:tcPr>
          <w:p>
            <w:pPr>
              <w:pStyle w:val="TableText"/>
              <w:jc w:val="left"/>
            </w:pPr>
            <w:r>
              <w:t xml:space="preserve">Distributed Management Task Force</w:t>
            </w:r>
          </w:p>
        </w:tc>
      </w:tr>
      <w:tr>
        <w:tc>
          <w:tcPr>
            <w:tcW w:type="dxa" w:w="1603"/>
          </w:tcPr>
          <w:p>
            <w:pPr>
              <w:pStyle w:val="TableText"/>
              <w:jc w:val="left"/>
            </w:pPr>
            <w:r>
              <w:t xml:space="preserve">DSP</w:t>
            </w:r>
          </w:p>
        </w:tc>
        <w:tc>
          <w:tcPr>
            <w:tcW w:type="dxa" w:w="7015"/>
          </w:tcPr>
          <w:p>
            <w:pPr>
              <w:pStyle w:val="TableText"/>
              <w:jc w:val="left"/>
            </w:pPr>
            <w:r>
              <w:t xml:space="preserve">DMTF Standard Publication</w:t>
            </w:r>
          </w:p>
        </w:tc>
      </w:tr>
      <w:tr>
        <w:tc>
          <w:tcPr>
            <w:tcW w:type="dxa" w:w="1603"/>
          </w:tcPr>
          <w:p>
            <w:pPr>
              <w:pStyle w:val="TableText"/>
              <w:jc w:val="left"/>
            </w:pPr>
            <w:r>
              <w:t xml:space="preserve">HATEOAS</w:t>
            </w:r>
          </w:p>
        </w:tc>
        <w:tc>
          <w:tcPr>
            <w:tcW w:type="dxa" w:w="7015"/>
          </w:tcPr>
          <w:p>
            <w:pPr>
              <w:pStyle w:val="TableText"/>
              <w:jc w:val="left"/>
            </w:pPr>
            <w:r>
              <w:t xml:space="preserve">Hypermedia as the Engine of Application State</w:t>
            </w:r>
          </w:p>
        </w:tc>
      </w:tr>
      <w:tr>
        <w:tc>
          <w:tcPr>
            <w:tcW w:type="dxa" w:w="1603"/>
          </w:tcPr>
          <w:p>
            <w:pPr>
              <w:pStyle w:val="TableText"/>
              <w:jc w:val="left"/>
            </w:pPr>
            <w:r>
              <w:t xml:space="preserve">HPC</w:t>
            </w:r>
          </w:p>
        </w:tc>
        <w:tc>
          <w:tcPr>
            <w:tcW w:type="dxa" w:w="7015"/>
          </w:tcPr>
          <w:p>
            <w:pPr>
              <w:pStyle w:val="TableText"/>
              <w:jc w:val="left"/>
            </w:pPr>
            <w:r>
              <w:t xml:space="preserve">High-Performance Computing</w:t>
            </w:r>
          </w:p>
        </w:tc>
      </w:tr>
      <w:tr>
        <w:tc>
          <w:tcPr>
            <w:tcW w:type="dxa" w:w="1603"/>
          </w:tcPr>
          <w:p>
            <w:pPr>
              <w:pStyle w:val="TableText"/>
              <w:jc w:val="left"/>
            </w:pPr>
            <w:r>
              <w:t xml:space="preserve">HTTP(S)</w:t>
            </w:r>
          </w:p>
        </w:tc>
        <w:tc>
          <w:tcPr>
            <w:tcW w:type="dxa" w:w="7015"/>
          </w:tcPr>
          <w:p>
            <w:pPr>
              <w:pStyle w:val="TableText"/>
              <w:jc w:val="left"/>
            </w:pPr>
            <w:r>
              <w:t xml:space="preserve">Hypertext Transfer Protocol (Secure)</w:t>
            </w:r>
          </w:p>
        </w:tc>
      </w:tr>
      <w:tr>
        <w:tc>
          <w:tcPr>
            <w:tcW w:type="dxa" w:w="1603"/>
          </w:tcPr>
          <w:p>
            <w:pPr>
              <w:pStyle w:val="TableText"/>
              <w:jc w:val="left"/>
            </w:pPr>
            <w:r>
              <w:t xml:space="preserve">iDRAC</w:t>
            </w:r>
          </w:p>
        </w:tc>
        <w:tc>
          <w:tcPr>
            <w:tcW w:type="dxa" w:w="7015"/>
          </w:tcPr>
          <w:p>
            <w:pPr>
              <w:pStyle w:val="TableText"/>
              <w:jc w:val="left"/>
            </w:pPr>
            <w:r>
              <w:t xml:space="preserve">integrated Dell Remote Access Controller</w:t>
            </w:r>
          </w:p>
        </w:tc>
      </w:tr>
      <w:tr>
        <w:tc>
          <w:tcPr>
            <w:tcW w:type="dxa" w:w="1603"/>
          </w:tcPr>
          <w:p>
            <w:pPr>
              <w:pStyle w:val="TableText"/>
              <w:jc w:val="left"/>
            </w:pPr>
            <w:r>
              <w:t xml:space="preserve">iLO</w:t>
            </w:r>
          </w:p>
        </w:tc>
        <w:tc>
          <w:tcPr>
            <w:tcW w:type="dxa" w:w="7015"/>
          </w:tcPr>
          <w:p>
            <w:pPr>
              <w:pStyle w:val="TableText"/>
              <w:jc w:val="left"/>
            </w:pPr>
            <w:r>
              <w:t xml:space="preserve">HPE Integrated Lights-Out</w:t>
            </w:r>
          </w:p>
        </w:tc>
      </w:tr>
      <w:tr>
        <w:tc>
          <w:tcPr>
            <w:tcW w:type="dxa" w:w="1603"/>
          </w:tcPr>
          <w:p>
            <w:pPr>
              <w:pStyle w:val="TableText"/>
              <w:jc w:val="left"/>
            </w:pPr>
            <w:r>
              <w:t xml:space="preserve">IPMI</w:t>
            </w:r>
          </w:p>
        </w:tc>
        <w:tc>
          <w:tcPr>
            <w:tcW w:type="dxa" w:w="7015"/>
          </w:tcPr>
          <w:p>
            <w:pPr>
              <w:pStyle w:val="TableText"/>
              <w:jc w:val="left"/>
            </w:pPr>
            <w:r>
              <w:t xml:space="preserve">Intelligent Platform Management Interface</w:t>
            </w:r>
          </w:p>
        </w:tc>
      </w:tr>
      <w:tr>
        <w:tc>
          <w:tcPr>
            <w:tcW w:type="dxa" w:w="1603"/>
          </w:tcPr>
          <w:p>
            <w:pPr>
              <w:pStyle w:val="TableText"/>
              <w:jc w:val="left"/>
            </w:pPr>
            <w:r>
              <w:t xml:space="preserve">JSON</w:t>
            </w:r>
          </w:p>
        </w:tc>
        <w:tc>
          <w:tcPr>
            <w:tcW w:type="dxa" w:w="7015"/>
          </w:tcPr>
          <w:p>
            <w:pPr>
              <w:pStyle w:val="TableText"/>
              <w:jc w:val="left"/>
            </w:pPr>
            <w:r>
              <w:t xml:space="preserve">JavaScript Object Notation</w:t>
            </w:r>
          </w:p>
        </w:tc>
      </w:tr>
      <w:tr>
        <w:tc>
          <w:tcPr>
            <w:tcW w:type="dxa" w:w="1603"/>
          </w:tcPr>
          <w:p>
            <w:pPr>
              <w:pStyle w:val="TableText"/>
              <w:jc w:val="left"/>
            </w:pPr>
            <w:r>
              <w:t xml:space="preserve">MIB</w:t>
            </w:r>
          </w:p>
        </w:tc>
        <w:tc>
          <w:tcPr>
            <w:tcW w:type="dxa" w:w="7015"/>
          </w:tcPr>
          <w:p>
            <w:pPr>
              <w:pStyle w:val="TableText"/>
              <w:jc w:val="left"/>
            </w:pPr>
            <w:r>
              <w:t xml:space="preserve">Management Information Base</w:t>
            </w:r>
          </w:p>
        </w:tc>
      </w:tr>
      <w:tr>
        <w:tc>
          <w:tcPr>
            <w:tcW w:type="dxa" w:w="1603"/>
          </w:tcPr>
          <w:p>
            <w:pPr>
              <w:pStyle w:val="TableText"/>
              <w:jc w:val="left"/>
            </w:pPr>
            <w:r>
              <w:t xml:space="preserve">OData</w:t>
            </w:r>
          </w:p>
        </w:tc>
        <w:tc>
          <w:tcPr>
            <w:tcW w:type="dxa" w:w="7015"/>
          </w:tcPr>
          <w:p>
            <w:pPr>
              <w:pStyle w:val="TableText"/>
              <w:jc w:val="left"/>
            </w:pPr>
            <w:r>
              <w:t xml:space="preserve">Open Data Protocol</w:t>
            </w:r>
          </w:p>
        </w:tc>
      </w:tr>
      <w:tr>
        <w:tc>
          <w:tcPr>
            <w:tcW w:type="dxa" w:w="1603"/>
          </w:tcPr>
          <w:p>
            <w:pPr>
              <w:pStyle w:val="TableText"/>
              <w:jc w:val="left"/>
            </w:pPr>
            <w:r>
              <w:t xml:space="preserve">OEM</w:t>
            </w:r>
          </w:p>
        </w:tc>
        <w:tc>
          <w:tcPr>
            <w:tcW w:type="dxa" w:w="7015"/>
          </w:tcPr>
          <w:p>
            <w:pPr>
              <w:pStyle w:val="TableText"/>
              <w:jc w:val="left"/>
            </w:pPr>
            <w:r>
              <w:t xml:space="preserve">Original Equipment Manufacturer</w:t>
            </w:r>
          </w:p>
        </w:tc>
      </w:tr>
      <w:tr>
        <w:tc>
          <w:tcPr>
            <w:tcW w:type="dxa" w:w="1603"/>
          </w:tcPr>
          <w:p>
            <w:pPr>
              <w:pStyle w:val="TableText"/>
              <w:jc w:val="left"/>
            </w:pPr>
            <w:r>
              <w:t xml:space="preserve">PSU</w:t>
            </w:r>
          </w:p>
        </w:tc>
        <w:tc>
          <w:tcPr>
            <w:tcW w:type="dxa" w:w="7015"/>
          </w:tcPr>
          <w:p>
            <w:pPr>
              <w:pStyle w:val="TableText"/>
              <w:jc w:val="left"/>
            </w:pPr>
            <w:r>
              <w:t xml:space="preserve">Power Supply Unit</w:t>
            </w:r>
          </w:p>
        </w:tc>
      </w:tr>
      <w:tr>
        <w:tc>
          <w:tcPr>
            <w:tcW w:type="dxa" w:w="1603"/>
          </w:tcPr>
          <w:p>
            <w:pPr>
              <w:pStyle w:val="TableText"/>
              <w:jc w:val="left"/>
            </w:pPr>
            <w:r>
              <w:t xml:space="preserve">REST</w:t>
            </w:r>
          </w:p>
        </w:tc>
        <w:tc>
          <w:tcPr>
            <w:tcW w:type="dxa" w:w="7015"/>
          </w:tcPr>
          <w:p>
            <w:pPr>
              <w:pStyle w:val="TableText"/>
              <w:jc w:val="left"/>
            </w:pPr>
            <w:r>
              <w:t xml:space="preserve">Representational State Transfer</w:t>
            </w:r>
          </w:p>
        </w:tc>
      </w:tr>
      <w:tr>
        <w:tc>
          <w:tcPr>
            <w:tcW w:type="dxa" w:w="1603"/>
          </w:tcPr>
          <w:p>
            <w:pPr>
              <w:pStyle w:val="TableText"/>
              <w:jc w:val="left"/>
            </w:pPr>
            <w:r>
              <w:t xml:space="preserve">SNMP</w:t>
            </w:r>
          </w:p>
        </w:tc>
        <w:tc>
          <w:tcPr>
            <w:tcW w:type="dxa" w:w="7015"/>
          </w:tcPr>
          <w:p>
            <w:pPr>
              <w:pStyle w:val="TableText"/>
              <w:jc w:val="left"/>
            </w:pPr>
            <w:r>
              <w:t xml:space="preserve">Simple Network Management Protocol</w:t>
            </w:r>
          </w:p>
        </w:tc>
      </w:tr>
      <w:tr>
        <w:tc>
          <w:tcPr>
            <w:tcW w:type="dxa" w:w="1603"/>
          </w:tcPr>
          <w:p>
            <w:pPr>
              <w:pStyle w:val="TableText"/>
              <w:jc w:val="left"/>
            </w:pPr>
            <w:r>
              <w:t xml:space="preserve">SP-BFS</w:t>
            </w:r>
          </w:p>
        </w:tc>
        <w:tc>
          <w:tcPr>
            <w:tcW w:type="dxa" w:w="7015"/>
          </w:tcPr>
          <w:p>
            <w:pPr>
              <w:pStyle w:val="TableText"/>
              <w:jc w:val="left"/>
            </w:pPr>
            <w:r>
              <w:t xml:space="preserve">Schema-Pruned Breadth-First Search (this thesis)</w:t>
            </w:r>
          </w:p>
        </w:tc>
      </w:tr>
      <w:tr>
        <w:tc>
          <w:tcPr>
            <w:tcW w:type="dxa" w:w="1603"/>
          </w:tcPr>
          <w:p>
            <w:pPr>
              <w:pStyle w:val="TableText"/>
              <w:jc w:val="left"/>
            </w:pPr>
            <w:r>
              <w:t xml:space="preserve">URI</w:t>
            </w:r>
          </w:p>
        </w:tc>
        <w:tc>
          <w:tcPr>
            <w:tcW w:type="dxa" w:w="7015"/>
          </w:tcPr>
          <w:p>
            <w:pPr>
              <w:pStyle w:val="TableText"/>
              <w:jc w:val="left"/>
            </w:pPr>
            <w:r>
              <w:t xml:space="preserve">Uniform Resource Identifier</w:t>
            </w:r>
          </w:p>
        </w:tc>
      </w:tr>
    </w:tbl>
    <w:bookmarkEnd w:id="21"/>
    <w:bookmarkStart w:id="27" w:name="introduction"/>
    <w:p>
      <w:pPr>
        <w:pStyle w:val="Heading1"/>
      </w:pPr>
      <w:r>
        <w:t xml:space="preserve">1 Introduction</w:t>
      </w:r>
    </w:p>
    <w:bookmarkStart w:id="22" w:name="motivation"/>
    <w:p>
      <w:pPr>
        <w:pStyle w:val="Heading2"/>
      </w:pPr>
      <w:r>
        <w:t xml:space="preserve">1.1 Motivation</w:t>
      </w:r>
    </w:p>
    <w:p>
      <w:pPr>
        <w:pStyle w:val="FirstParagraph"/>
      </w:pPr>
      <w:r>
        <w:t xml:space="preserve">Every modern server contains a small, independent computer, the</w:t>
      </w:r>
      <w:r>
        <w:t xml:space="preserve"> </w:t>
      </w:r>
      <w:r>
        <w:rPr>
          <w:iCs/>
          <w:i/>
        </w:rPr>
        <w:t xml:space="preserve">Baseboard</w:t>
      </w:r>
      <w:r>
        <w:rPr>
          <w:iCs/>
          <w:i/>
        </w:rPr>
        <w:t xml:space="preserve"> </w:t>
      </w:r>
      <w:r>
        <w:rPr>
          <w:iCs/>
          <w:i/>
        </w:rPr>
        <w:t xml:space="preserve">Management Controller</w:t>
      </w:r>
      <w:r>
        <w:t xml:space="preserve"> </w:t>
      </w:r>
      <w:r>
        <w:t xml:space="preserve">(BMC), that watches the health of the machine even while</w:t>
      </w:r>
      <w:r>
        <w:t xml:space="preserve"> </w:t>
      </w:r>
      <w:r>
        <w:t xml:space="preserve">the host operating system is down. It reads temperature and voltage sensors,</w:t>
      </w:r>
      <w:r>
        <w:t xml:space="preserve"> </w:t>
      </w:r>
      <w:r>
        <w:t xml:space="preserve">drives the fans, records hardware faults and lets an operator power-cycle the</w:t>
      </w:r>
      <w:r>
        <w:t xml:space="preserve"> </w:t>
      </w:r>
      <w:r>
        <w:t xml:space="preserve">machine remotely. For two decades the dominant interface to the BMC was the</w:t>
      </w:r>
      <w:r>
        <w:t xml:space="preserve"> </w:t>
      </w:r>
      <w:r>
        <w:t xml:space="preserve">Intelligent Platform Management Interface (IPMI) </w:t>
      </w:r>
      <w:hyperlink w:anchor="ref-ipmi_v2">
        <w:r>
          <w:rPr>
            <w:rStyle w:val="Hyperlink"/>
          </w:rPr>
          <w:t xml:space="preserve">[1]</w:t>
        </w:r>
      </w:hyperlink>
      <w:r>
        <w:t xml:space="preserve">, a binary protocol</w:t>
      </w:r>
      <w:r>
        <w:t xml:space="preserve"> </w:t>
      </w:r>
      <w:r>
        <w:t xml:space="preserve">with a flat sensor model and a well-documented list of security weaknesses. In</w:t>
      </w:r>
      <w:r>
        <w:t xml:space="preserve"> </w:t>
      </w:r>
      <w:r>
        <w:t xml:space="preserve">2015 the Distributed Management Task Force (DMTF) published</w:t>
      </w:r>
      <w:r>
        <w:t xml:space="preserve"> </w:t>
      </w:r>
      <w:r>
        <w:rPr>
          <w:iCs/>
          <w:i/>
        </w:rPr>
        <w:t xml:space="preserve">Redfish</w:t>
      </w:r>
      <w:r>
        <w:t xml:space="preserve">, a</w:t>
      </w:r>
      <w:r>
        <w:t xml:space="preserve"> </w:t>
      </w:r>
      <w:r>
        <w:t xml:space="preserve">successor built from web technology: HTTPS, JSON and a REST-style resource model</w:t>
      </w:r>
      <w:r>
        <w:t xml:space="preserve"> </w:t>
      </w:r>
      <w:r>
        <w:t xml:space="preserve">described by machine-readable schemas </w:t>
      </w:r>
      <w:hyperlink w:anchor="ref-dmtf_dsp0266">
        <w:r>
          <w:rPr>
            <w:rStyle w:val="Hyperlink"/>
          </w:rPr>
          <w:t xml:space="preserve">[2]</w:t>
        </w:r>
      </w:hyperlink>
      <w:r>
        <w:t xml:space="preserve">,</w:t>
      </w:r>
      <w:r>
        <w:t xml:space="preserve"> </w:t>
      </w:r>
      <w:hyperlink w:anchor="ref-dmtf_dsp0268">
        <w:r>
          <w:rPr>
            <w:rStyle w:val="Hyperlink"/>
          </w:rPr>
          <w:t xml:space="preserve">[3]</w:t>
        </w:r>
      </w:hyperlink>
      <w:r>
        <w:t xml:space="preserve">.</w:t>
      </w:r>
      <w:r>
        <w:t xml:space="preserve"> </w:t>
      </w:r>
      <w:r>
        <w:t xml:space="preserve">Redfish is now supported by every major server vendor and by the open-source</w:t>
      </w:r>
      <w:r>
        <w:t xml:space="preserve"> </w:t>
      </w:r>
      <w:r>
        <w:t xml:space="preserve">OpenBMC firmware, and it is the basis of monitoring pipelines in data centres and</w:t>
      </w:r>
      <w:r>
        <w:t xml:space="preserve"> </w:t>
      </w:r>
      <w:r>
        <w:t xml:space="preserve">high-performance computing (HPC) sites </w:t>
      </w:r>
      <w:hyperlink w:anchor="ref-li2020monster">
        <w:r>
          <w:rPr>
            <w:rStyle w:val="Hyperlink"/>
          </w:rPr>
          <w:t xml:space="preserve">[4]</w:t>
        </w:r>
      </w:hyperlink>
      <w:r>
        <w:t xml:space="preserve">,</w:t>
      </w:r>
      <w:r>
        <w:t xml:space="preserve"> </w:t>
      </w:r>
      <w:hyperlink w:anchor="ref-ali2022redfishnagios">
        <w:r>
          <w:rPr>
            <w:rStyle w:val="Hyperlink"/>
          </w:rPr>
          <w:t xml:space="preserve">[5]</w:t>
        </w:r>
      </w:hyperlink>
      <w:r>
        <w:t xml:space="preserve">,</w:t>
      </w:r>
      <w:r>
        <w:t xml:space="preserve"> </w:t>
      </w:r>
      <w:hyperlink w:anchor="ref-dakic2024redfish">
        <w:r>
          <w:rPr>
            <w:rStyle w:val="Hyperlink"/>
          </w:rPr>
          <w:t xml:space="preserve">[6]</w:t>
        </w:r>
      </w:hyperlink>
      <w:r>
        <w:t xml:space="preserve">.</w:t>
      </w:r>
    </w:p>
    <w:p>
      <w:pPr>
        <w:pStyle w:val="BodyText"/>
      </w:pPr>
      <w:r>
        <w:t xml:space="preserve">The appeal of Redfish for a monitoring tool is obvious: instead of vendor</w:t>
      </w:r>
      <w:r>
        <w:t xml:space="preserve"> </w:t>
      </w:r>
      <w:r>
        <w:t xml:space="preserve">specific command-line utilities or SNMP MIBs, a single HTTP client can ask any</w:t>
      </w:r>
      <w:r>
        <w:t xml:space="preserve"> </w:t>
      </w:r>
      <w:r>
        <w:t xml:space="preserve">server for its processors, memory modules, drives, network adapters, power</w:t>
      </w:r>
      <w:r>
        <w:t xml:space="preserve"> </w:t>
      </w:r>
      <w:r>
        <w:t xml:space="preserve">supplies and fans. The author experienced the other side of this promise while</w:t>
      </w:r>
      <w:r>
        <w:t xml:space="preserve"> </w:t>
      </w:r>
      <w:r>
        <w:t xml:space="preserve">building a server hardware monitoring tool on top of Redfish. The standard fixes</w:t>
      </w:r>
      <w:r>
        <w:t xml:space="preserve"> </w:t>
      </w:r>
      <w:r>
        <w:t xml:space="preserve">the</w:t>
      </w:r>
      <w:r>
        <w:t xml:space="preserve"> </w:t>
      </w:r>
      <w:r>
        <w:rPr>
          <w:iCs/>
          <w:i/>
        </w:rPr>
        <w:t xml:space="preserve">types</w:t>
      </w:r>
      <w:r>
        <w:t xml:space="preserve"> </w:t>
      </w:r>
      <w:r>
        <w:t xml:space="preserve">of resources and their properties, but it leaves the</w:t>
      </w:r>
      <w:r>
        <w:t xml:space="preserve"> </w:t>
      </w:r>
      <w:r>
        <w:rPr>
          <w:iCs/>
          <w:i/>
        </w:rPr>
        <w:t xml:space="preserve">arrangement</w:t>
      </w:r>
      <w:r>
        <w:t xml:space="preserve"> </w:t>
      </w:r>
      <w:r>
        <w:t xml:space="preserve">of the resources largely to the implementation, and the schema</w:t>
      </w:r>
      <w:r>
        <w:t xml:space="preserve"> </w:t>
      </w:r>
      <w:r>
        <w:t xml:space="preserve">itself has evolved substantially:</w:t>
      </w:r>
    </w:p>
    <w:p>
      <w:pPr>
        <w:numPr>
          <w:ilvl w:val="0"/>
          <w:numId w:val="1001"/>
        </w:numPr>
      </w:pPr>
      <w:r>
        <w:t xml:space="preserve">A Dell PowerEdge server with an iDRAC running Redfish 1.0.2 reports its</w:t>
      </w:r>
      <w:r>
        <w:t xml:space="preserve"> </w:t>
      </w:r>
      <w:r>
        <w:t xml:space="preserve">power supplies as an array inside</w:t>
      </w:r>
      <w:r>
        <w:t xml:space="preserve"> </w:t>
      </w:r>
      <w:r>
        <w:rPr>
          <w:rStyle w:val="VerbatimChar"/>
        </w:rPr>
        <w:t xml:space="preserve">/redfish/v1/Chassis/System.Embedded.1/Power</w:t>
      </w:r>
      <w:r>
        <w:t xml:space="preserve">;</w:t>
      </w:r>
      <w:r>
        <w:t xml:space="preserve"> </w:t>
      </w:r>
      <w:r>
        <w:t xml:space="preserve">the DMTF reference servers of the 2026 schema bundle additionally expose</w:t>
      </w:r>
      <w:r>
        <w:t xml:space="preserve"> </w:t>
      </w:r>
      <w:r>
        <w:rPr>
          <w:rStyle w:val="VerbatimChar"/>
        </w:rPr>
        <w:t xml:space="preserve">/redfish/v1/Chassis/1U/PowerSubsystem/PowerSupplies/{id}</w:t>
      </w:r>
      <w:r>
        <w:t xml:space="preserve">, because</w:t>
      </w:r>
      <w:r>
        <w:t xml:space="preserve"> </w:t>
      </w:r>
      <w:r>
        <w:t xml:space="preserve">the</w:t>
      </w:r>
      <w:r>
        <w:t xml:space="preserve"> </w:t>
      </w:r>
      <w:r>
        <w:rPr>
          <w:rStyle w:val="VerbatimChar"/>
        </w:rPr>
        <w:t xml:space="preserve">Power</w:t>
      </w:r>
      <w:r>
        <w:t xml:space="preserve"> </w:t>
      </w:r>
      <w:r>
        <w:t xml:space="preserve">resource was deprecated in favour of</w:t>
      </w:r>
      <w:r>
        <w:t xml:space="preserve"> </w:t>
      </w:r>
      <w:r>
        <w:rPr>
          <w:rStyle w:val="VerbatimChar"/>
        </w:rPr>
        <w:t xml:space="preserve">PowerSubsystem</w:t>
      </w:r>
      <w:r>
        <w:t xml:space="preserve"> </w:t>
      </w:r>
      <w:r>
        <w:t xml:space="preserve">in Redfish release 2020.4.</w:t>
      </w:r>
    </w:p>
    <w:p>
      <w:pPr>
        <w:numPr>
          <w:ilvl w:val="0"/>
          <w:numId w:val="1001"/>
        </w:numPr>
      </w:pPr>
      <w:r>
        <w:t xml:space="preserve">Physical drives appear below</w:t>
      </w:r>
      <w:r>
        <w:t xml:space="preserve"> </w:t>
      </w:r>
      <w:r>
        <w:rPr>
          <w:rStyle w:val="VerbatimChar"/>
        </w:rPr>
        <w:t xml:space="preserve">Systems/{id}/SimpleStorage</w:t>
      </w:r>
      <w:r>
        <w:t xml:space="preserve"> </w:t>
      </w:r>
      <w:r>
        <w:t xml:space="preserve">(as</w:t>
      </w:r>
      <w:r>
        <w:t xml:space="preserve"> </w:t>
      </w:r>
      <w:r>
        <w:t xml:space="preserve">embedded</w:t>
      </w:r>
      <w:r>
        <w:t xml:space="preserve"> </w:t>
      </w:r>
      <w:r>
        <w:rPr>
          <w:rStyle w:val="VerbatimChar"/>
        </w:rPr>
        <w:t xml:space="preserve">Devices</w:t>
      </w:r>
      <w:r>
        <w:t xml:space="preserve">), below</w:t>
      </w:r>
      <w:r>
        <w:t xml:space="preserve"> </w:t>
      </w:r>
      <w:r>
        <w:rPr>
          <w:rStyle w:val="VerbatimChar"/>
        </w:rPr>
        <w:t xml:space="preserve">Systems/{id}/Storage/{id}/Drives</w:t>
      </w:r>
      <w:r>
        <w:t xml:space="preserve">,</w:t>
      </w:r>
      <w:r>
        <w:t xml:space="preserve"> </w:t>
      </w:r>
      <w:r>
        <w:t xml:space="preserve">or directly below</w:t>
      </w:r>
      <w:r>
        <w:t xml:space="preserve"> </w:t>
      </w:r>
      <w:r>
        <w:rPr>
          <w:rStyle w:val="VerbatimChar"/>
        </w:rPr>
        <w:t xml:space="preserve">Chassis/{id}/Drives</w:t>
      </w:r>
      <w:r>
        <w:t xml:space="preserve">, depending on vendor and</w:t>
      </w:r>
      <w:r>
        <w:t xml:space="preserve"> </w:t>
      </w:r>
      <w:r>
        <w:t xml:space="preserve">generation.</w:t>
      </w:r>
    </w:p>
    <w:p>
      <w:pPr>
        <w:numPr>
          <w:ilvl w:val="0"/>
          <w:numId w:val="1001"/>
        </w:numPr>
      </w:pPr>
      <w:r>
        <w:t xml:space="preserve">Resource identifiers are chosen by the implementation</w:t>
      </w:r>
      <w:r>
        <w:t xml:space="preserve"> </w:t>
      </w:r>
      <w:r>
        <w:t xml:space="preserve">(</w:t>
      </w:r>
      <w:r>
        <w:rPr>
          <w:rStyle w:val="VerbatimChar"/>
        </w:rPr>
        <w:t xml:space="preserve">1</w:t>
      </w:r>
      <w:r>
        <w:t xml:space="preserve">,</w:t>
      </w:r>
      <w:r>
        <w:t xml:space="preserve"> </w:t>
      </w:r>
      <w:r>
        <w:rPr>
          <w:rStyle w:val="VerbatimChar"/>
        </w:rPr>
        <w:t xml:space="preserve">System.Embedded.1</w:t>
      </w:r>
      <w:r>
        <w:t xml:space="preserve">,</w:t>
      </w:r>
      <w:r>
        <w:t xml:space="preserve"> </w:t>
      </w:r>
      <w:r>
        <w:rPr>
          <w:rStyle w:val="VerbatimChar"/>
        </w:rPr>
        <w:t xml:space="preserve">437XR1138R2</w:t>
      </w:r>
      <w:r>
        <w:t xml:space="preserve">,</w:t>
      </w:r>
      <w:r>
        <w:t xml:space="preserve"> </w:t>
      </w:r>
      <w:r>
        <w:rPr>
          <w:rStyle w:val="VerbatimChar"/>
        </w:rPr>
        <w:t xml:space="preserve">Self</w:t>
      </w:r>
      <w:r>
        <w:t xml:space="preserve">,</w:t>
      </w:r>
      <w:r>
        <w:t xml:space="preserve"> </w:t>
      </w:r>
      <w:r>
        <w:rPr>
          <w:rStyle w:val="VerbatimChar"/>
        </w:rPr>
        <w:t xml:space="preserve">Node0</w:t>
      </w:r>
      <w:r>
        <w:t xml:space="preserve">),</w:t>
      </w:r>
      <w:r>
        <w:t xml:space="preserve"> </w:t>
      </w:r>
      <w:r>
        <w:t xml:space="preserve">so even the same path template cannot be written down as a literal URI.</w:t>
      </w:r>
    </w:p>
    <w:p>
      <w:pPr>
        <w:pStyle w:val="FirstParagraph"/>
      </w:pPr>
      <w:r>
        <w:t xml:space="preserve">A tool written against one server therefore returns incomplete data on the next</w:t>
      </w:r>
      <w:r>
        <w:t xml:space="preserve"> </w:t>
      </w:r>
      <w:r>
        <w:t xml:space="preserve">one, and it usually does so</w:t>
      </w:r>
      <w:r>
        <w:t xml:space="preserve"> </w:t>
      </w:r>
      <w:r>
        <w:rPr>
          <w:iCs/>
          <w:i/>
        </w:rPr>
        <w:t xml:space="preserve">silently</w:t>
      </w:r>
      <w:r>
        <w:t xml:space="preserve">: a missing link is indistinguishable</w:t>
      </w:r>
      <w:r>
        <w:t xml:space="preserve"> </w:t>
      </w:r>
      <w:r>
        <w:t xml:space="preserve">from a server that simply has no such component. Deciding</w:t>
      </w:r>
      <w:r>
        <w:t xml:space="preserve"> </w:t>
      </w:r>
      <w:r>
        <w:t xml:space="preserve">“</w:t>
      </w:r>
      <w:r>
        <w:t xml:space="preserve">which REST API has</w:t>
      </w:r>
      <w:r>
        <w:t xml:space="preserve"> </w:t>
      </w:r>
      <w:r>
        <w:t xml:space="preserve">to be called for storage, network, power or processors</w:t>
      </w:r>
      <w:r>
        <w:t xml:space="preserve">”</w:t>
      </w:r>
      <w:r>
        <w:t xml:space="preserve"> </w:t>
      </w:r>
      <w:r>
        <w:t xml:space="preserve">turned out to be the</w:t>
      </w:r>
      <w:r>
        <w:t xml:space="preserve"> </w:t>
      </w:r>
      <w:r>
        <w:t xml:space="preserve">hardest part of building the tool, and every newly supported server model</w:t>
      </w:r>
      <w:r>
        <w:t xml:space="preserve"> </w:t>
      </w:r>
      <w:r>
        <w:t xml:space="preserve">required new special cases.</w:t>
      </w:r>
    </w:p>
    <w:p>
      <w:pPr>
        <w:pStyle w:val="BodyText"/>
      </w:pPr>
      <w:r>
        <w:t xml:space="preserve">The solution that emerged in the tool, and which this thesis develops,</w:t>
      </w:r>
      <w:r>
        <w:t xml:space="preserve"> </w:t>
      </w:r>
      <w:r>
        <w:t xml:space="preserve">formalises and evaluates, is to stop encoding</w:t>
      </w:r>
      <w:r>
        <w:t xml:space="preserve"> </w:t>
      </w:r>
      <w:r>
        <w:rPr>
          <w:iCs/>
          <w:i/>
        </w:rPr>
        <w:t xml:space="preserve">where</w:t>
      </w:r>
      <w:r>
        <w:t xml:space="preserve"> </w:t>
      </w:r>
      <w:r>
        <w:t xml:space="preserve">a resource lives and</w:t>
      </w:r>
      <w:r>
        <w:t xml:space="preserve"> </w:t>
      </w:r>
      <w:r>
        <w:t xml:space="preserve">to describe only</w:t>
      </w:r>
      <w:r>
        <w:t xml:space="preserve"> </w:t>
      </w:r>
      <w:r>
        <w:rPr>
          <w:iCs/>
          <w:i/>
        </w:rPr>
        <w:t xml:space="preserve">what</w:t>
      </w:r>
      <w:r>
        <w:t xml:space="preserve"> </w:t>
      </w:r>
      <w:r>
        <w:t xml:space="preserve">it is. The Redfish service is converted into a tree</w:t>
      </w:r>
      <w:r>
        <w:t xml:space="preserve"> </w:t>
      </w:r>
      <w:r>
        <w:t xml:space="preserve">of resources rooted at</w:t>
      </w:r>
      <w:r>
        <w:t xml:space="preserve"> </w:t>
      </w:r>
      <w:r>
        <w:rPr>
          <w:rStyle w:val="VerbatimChar"/>
        </w:rPr>
        <w:t xml:space="preserve">/redfish/v1</w:t>
      </w:r>
      <w:r>
        <w:t xml:space="preserve">, and the resources of interest are</w:t>
      </w:r>
      <w:r>
        <w:t xml:space="preserve"> </w:t>
      </w:r>
      <w:r>
        <w:t xml:space="preserve">found by a breadth-first search (BFS) that matches the</w:t>
      </w:r>
      <w:r>
        <w:t xml:space="preserve"> </w:t>
      </w:r>
      <w:r>
        <w:rPr>
          <w:rStyle w:val="VerbatimChar"/>
        </w:rPr>
        <w:t xml:space="preserve">@odata.type</w:t>
      </w:r>
      <w:r>
        <w:t xml:space="preserve"> </w:t>
      </w:r>
      <w:r>
        <w:t xml:space="preserve">of every</w:t>
      </w:r>
      <w:r>
        <w:t xml:space="preserve"> </w:t>
      </w:r>
      <w:r>
        <w:t xml:space="preserve">visited node. The standard explicitly supports this view: Redfish is a</w:t>
      </w:r>
      <w:r>
        <w:t xml:space="preserve"> </w:t>
      </w:r>
      <w:r>
        <w:t xml:space="preserve">hypermedia API in the sense of Fielding’s REST constraints </w:t>
      </w:r>
      <w:hyperlink w:anchor="ref-fielding2000rest">
        <w:r>
          <w:rPr>
            <w:rStyle w:val="Hyperlink"/>
          </w:rPr>
          <w:t xml:space="preserve">[7]</w:t>
        </w:r>
      </w:hyperlink>
      <w:r>
        <w:t xml:space="preserve">,</w:t>
      </w:r>
      <w:r>
        <w:t xml:space="preserve"> </w:t>
      </w:r>
      <w:r>
        <w:t xml:space="preserve">in which clients are expected to discover resources by following links rather</w:t>
      </w:r>
      <w:r>
        <w:t xml:space="preserve"> </w:t>
      </w:r>
      <w:r>
        <w:t xml:space="preserve">than by constructing URIs.</w:t>
      </w:r>
    </w:p>
    <w:bookmarkEnd w:id="22"/>
    <w:bookmarkStart w:id="23" w:name="problem-statement"/>
    <w:p>
      <w:pPr>
        <w:pStyle w:val="Heading2"/>
      </w:pPr>
      <w:r>
        <w:t xml:space="preserve">1.2 Problem Statement</w:t>
      </w:r>
    </w:p>
    <w:p>
      <w:pPr>
        <w:pStyle w:val="FirstParagraph"/>
      </w:pPr>
      <w:r>
        <w:t xml:space="preserve">A naive graph search, however, is expensive. BMCs are embedded processors with</w:t>
      </w:r>
      <w:r>
        <w:t xml:space="preserve"> </w:t>
      </w:r>
      <w:r>
        <w:t xml:space="preserve">limited CPU and memory; a single Redfish GET often takes tens to hundreds of</w:t>
      </w:r>
      <w:r>
        <w:t xml:space="preserve"> </w:t>
      </w:r>
      <w:r>
        <w:t xml:space="preserve">milliseconds, and some implementations throttle concurrent sessions. The</w:t>
      </w:r>
      <w:r>
        <w:t xml:space="preserve"> </w:t>
      </w:r>
      <w:r>
        <w:t xml:space="preserve">services studied in this thesis contain between 68 and 1</w:t>
      </w:r>
      <w:r>
        <w:t xml:space="preserve">,</w:t>
      </w:r>
      <w:r>
        <w:t xml:space="preserve">811 resources, most of</w:t>
      </w:r>
      <w:r>
        <w:t xml:space="preserve"> </w:t>
      </w:r>
      <w:r>
        <w:t xml:space="preserve">which (log entries, JSON schema files, message registries, account and session</w:t>
      </w:r>
      <w:r>
        <w:t xml:space="preserve"> </w:t>
      </w:r>
      <w:r>
        <w:t xml:space="preserve">objects) are irrelevant to hardware monitoring. Crawling the whole tree to find</w:t>
      </w:r>
      <w:r>
        <w:t xml:space="preserve"> </w:t>
      </w:r>
      <w:r>
        <w:t xml:space="preserve">two power supplies is wasteful and slow. The problem addressed by this thesis is</w:t>
      </w:r>
      <w:r>
        <w:t xml:space="preserve"> </w:t>
      </w:r>
      <w:r>
        <w:t xml:space="preserve">therefore:</w:t>
      </w:r>
    </w:p>
    <w:p>
      <w:pPr>
        <w:pStyle w:val="BlockText"/>
      </w:pPr>
      <w:r>
        <w:rPr>
          <w:iCs/>
          <w:i/>
        </w:rPr>
        <w:t xml:space="preserve">How can a monitoring client locate all instances of a given class of</w:t>
      </w:r>
      <w:r>
        <w:rPr>
          <w:iCs/>
          <w:i/>
        </w:rPr>
        <w:t xml:space="preserve"> </w:t>
      </w:r>
      <w:r>
        <w:rPr>
          <w:iCs/>
          <w:i/>
        </w:rPr>
        <w:t xml:space="preserve">hardware resource in an arbitrary, possibly non-uniform Redfish service,</w:t>
      </w:r>
      <w:r>
        <w:rPr>
          <w:iCs/>
          <w:i/>
        </w:rPr>
        <w:t xml:space="preserve"> </w:t>
      </w:r>
      <w:r>
        <w:rPr>
          <w:iCs/>
          <w:i/>
        </w:rPr>
        <w:t xml:space="preserve">without vendor-specific navigation code and with a number of requests close to</w:t>
      </w:r>
      <w:r>
        <w:rPr>
          <w:iCs/>
          <w:i/>
        </w:rPr>
        <w:t xml:space="preserve"> </w:t>
      </w:r>
      <w:r>
        <w:rPr>
          <w:iCs/>
          <w:i/>
        </w:rPr>
        <w:t xml:space="preserve">that of a hand-written, service-specific client?</w:t>
      </w:r>
    </w:p>
    <w:bookmarkEnd w:id="23"/>
    <w:bookmarkStart w:id="24" w:name="research-questions"/>
    <w:p>
      <w:pPr>
        <w:pStyle w:val="Heading2"/>
      </w:pPr>
      <w:r>
        <w:t xml:space="preserve">1.3 Research Questions</w:t>
      </w:r>
    </w:p>
    <w:p>
      <w:pPr>
        <w:pStyle w:val="DefinitionTerm"/>
      </w:pPr>
      <w:r>
        <w:t xml:space="preserve">RQ1</w:t>
      </w:r>
    </w:p>
    <w:p>
      <w:pPr>
        <w:pStyle w:val="Definition"/>
      </w:pPr>
      <w:r>
        <w:t xml:space="preserve">How heterogeneous are real Redfish services with respect to the</w:t>
      </w:r>
      <w:r>
        <w:t xml:space="preserve"> </w:t>
      </w:r>
      <w:r>
        <w:t xml:space="preserve">placement of monitoring-relevant resources, and how much do</w:t>
      </w:r>
      <w:r>
        <w:t xml:space="preserve"> </w:t>
      </w:r>
      <w:r>
        <w:t xml:space="preserve">hard-coded navigation paths miss?</w:t>
      </w:r>
    </w:p>
    <w:p>
      <w:pPr>
        <w:pStyle w:val="DefinitionTerm"/>
      </w:pPr>
      <w:r>
        <w:t xml:space="preserve">RQ2</w:t>
      </w:r>
    </w:p>
    <w:p>
      <w:pPr>
        <w:pStyle w:val="Definition"/>
      </w:pPr>
      <w:r>
        <w:t xml:space="preserve">Does a type-based breadth-first search over the containment tree</w:t>
      </w:r>
      <w:r>
        <w:t xml:space="preserve"> </w:t>
      </w:r>
      <w:r>
        <w:t xml:space="preserve">find the monitored components completely, independent of vendor</w:t>
      </w:r>
      <w:r>
        <w:t xml:space="preserve"> </w:t>
      </w:r>
      <w:r>
        <w:t xml:space="preserve">and schema version?</w:t>
      </w:r>
    </w:p>
    <w:p>
      <w:pPr>
        <w:pStyle w:val="DefinitionTerm"/>
      </w:pPr>
      <w:r>
        <w:t xml:space="preserve">RQ3</w:t>
      </w:r>
    </w:p>
    <w:p>
      <w:pPr>
        <w:pStyle w:val="Definition"/>
      </w:pPr>
      <w:r>
        <w:t xml:space="preserve">Can the published Redfish schema be used to prune the search so</w:t>
      </w:r>
      <w:r>
        <w:t xml:space="preserve"> </w:t>
      </w:r>
      <w:r>
        <w:t xml:space="preserve">that its request cost approaches that of hand-written navigation,</w:t>
      </w:r>
      <w:r>
        <w:t xml:space="preserve"> </w:t>
      </w:r>
      <w:r>
        <w:t xml:space="preserve">without losing completeness?</w:t>
      </w:r>
    </w:p>
    <w:p>
      <w:pPr>
        <w:pStyle w:val="DefinitionTerm"/>
      </w:pPr>
      <w:r>
        <w:t xml:space="preserve">RQ4</w:t>
      </w:r>
    </w:p>
    <w:p>
      <w:pPr>
        <w:pStyle w:val="Definition"/>
      </w:pPr>
      <w:r>
        <w:t xml:space="preserve">What are the latency characteristics of the search (time to first</w:t>
      </w:r>
      <w:r>
        <w:t xml:space="preserve"> </w:t>
      </w:r>
      <w:r>
        <w:t xml:space="preserve">result, parallelism across tree levels), and how does its one-time</w:t>
      </w:r>
      <w:r>
        <w:t xml:space="preserve"> </w:t>
      </w:r>
      <w:r>
        <w:t xml:space="preserve">cost amortise over a monitoring session?</w:t>
      </w:r>
    </w:p>
    <w:bookmarkEnd w:id="24"/>
    <w:bookmarkStart w:id="25" w:name="contributions"/>
    <w:p>
      <w:pPr>
        <w:pStyle w:val="Heading2"/>
      </w:pPr>
      <w:r>
        <w:t xml:space="preserve">1.4 Contributions</w:t>
      </w:r>
    </w:p>
    <w:p>
      <w:pPr>
        <w:numPr>
          <w:ilvl w:val="0"/>
          <w:numId w:val="1002"/>
        </w:numPr>
      </w:pPr>
      <w:r>
        <w:t xml:space="preserve">A</w:t>
      </w:r>
      <w:r>
        <w:t xml:space="preserve"> </w:t>
      </w:r>
      <w:r>
        <w:rPr>
          <w:bCs/>
          <w:b/>
        </w:rPr>
        <w:t xml:space="preserve">formal model</w:t>
      </w:r>
      <w:r>
        <w:t xml:space="preserve"> </w:t>
      </w:r>
      <w:r>
        <w:t xml:space="preserve">of a Redfish service as a typed, labelled</w:t>
      </w:r>
      <w:r>
        <w:t xml:space="preserve"> </w:t>
      </w:r>
      <w:r>
        <w:t xml:space="preserve">resource graph whose containment edges form an almost-tree, together</w:t>
      </w:r>
      <w:r>
        <w:t xml:space="preserve"> </w:t>
      </w:r>
      <w:r>
        <w:t xml:space="preserve">with declarative</w:t>
      </w:r>
      <w:r>
        <w:t xml:space="preserve"> </w:t>
      </w:r>
      <w:r>
        <w:rPr>
          <w:iCs/>
          <w:i/>
        </w:rPr>
        <w:t xml:space="preserve">resource queries</w:t>
      </w:r>
      <w:r>
        <w:t xml:space="preserve"> </w:t>
      </w:r>
      <w:r>
        <w:t xml:space="preserve">that name component classes by</w:t>
      </w:r>
      <w:r>
        <w:t xml:space="preserve"> </w:t>
      </w:r>
      <w:r>
        <w:t xml:space="preserve">schema type, embedded-array location and content predicate</w:t>
      </w:r>
      <w:r>
        <w:t xml:space="preserve"> </w:t>
      </w:r>
      <w:r>
        <w:t xml:space="preserve">(Chapter 4).</w:t>
      </w:r>
    </w:p>
    <w:p>
      <w:pPr>
        <w:numPr>
          <w:ilvl w:val="0"/>
          <w:numId w:val="1002"/>
        </w:numPr>
      </w:pPr>
      <w:r>
        <w:rPr>
          <w:bCs/>
          <w:b/>
        </w:rPr>
        <w:t xml:space="preserve">Schema-pruned BFS</w:t>
      </w:r>
      <w:r>
        <w:t xml:space="preserve"> </w:t>
      </w:r>
      <w:r>
        <w:t xml:space="preserve">(SP-BFS), a discovery algorithm that combines</w:t>
      </w:r>
      <w:r>
        <w:t xml:space="preserve"> </w:t>
      </w:r>
      <w:r>
        <w:t xml:space="preserve">breadth-first traversal with a type reachability graph extracted</w:t>
      </w:r>
      <w:r>
        <w:t xml:space="preserve"> </w:t>
      </w:r>
      <w:r>
        <w:t xml:space="preserve">automatically from the DMTF JSON Schema bundle. We prove that it is</w:t>
      </w:r>
      <w:r>
        <w:t xml:space="preserve"> </w:t>
      </w:r>
      <w:r>
        <w:t xml:space="preserve">sound, i.e. loses no target that an exhaustive tree traversal finds,</w:t>
      </w:r>
      <w:r>
        <w:t xml:space="preserve"> </w:t>
      </w:r>
      <w:r>
        <w:t xml:space="preserve">for any schema-conformant service, and we analyse its cost and its</w:t>
      </w:r>
      <w:r>
        <w:t xml:space="preserve"> </w:t>
      </w:r>
      <w:r>
        <w:t xml:space="preserve">level-synchronous parallelism (Chapter 5).</w:t>
      </w:r>
    </w:p>
    <w:p>
      <w:pPr>
        <w:numPr>
          <w:ilvl w:val="0"/>
          <w:numId w:val="1002"/>
        </w:numPr>
      </w:pPr>
      <w:r>
        <w:t xml:space="preserve">An</w:t>
      </w:r>
      <w:r>
        <w:t xml:space="preserve"> </w:t>
      </w:r>
      <w:r>
        <w:rPr>
          <w:bCs/>
          <w:b/>
        </w:rPr>
        <w:t xml:space="preserve">implementation</w:t>
      </w:r>
      <w:r>
        <w:t xml:space="preserve"> </w:t>
      </w:r>
      <w:r>
        <w:t xml:space="preserve">as the discovery layer of a monitoring tool,</w:t>
      </w:r>
      <w:r>
        <w:t xml:space="preserve"> </w:t>
      </w:r>
      <w:r>
        <w:t xml:space="preserve">separating a one-time discovery phase from a cheap polling phase with</w:t>
      </w:r>
      <w:r>
        <w:t xml:space="preserve"> </w:t>
      </w:r>
      <w:r>
        <w:t xml:space="preserve">event-driven rediscovery (Chapter 6).</w:t>
      </w:r>
    </w:p>
    <w:p>
      <w:pPr>
        <w:numPr>
          <w:ilvl w:val="0"/>
          <w:numId w:val="1002"/>
        </w:numPr>
      </w:pPr>
      <w:r>
        <w:t xml:space="preserve">An</w:t>
      </w:r>
      <w:r>
        <w:t xml:space="preserve"> </w:t>
      </w:r>
      <w:r>
        <w:rPr>
          <w:bCs/>
          <w:b/>
        </w:rPr>
        <w:t xml:space="preserve">empirical study</w:t>
      </w:r>
      <w:r>
        <w:t xml:space="preserve"> </w:t>
      </w:r>
      <w:r>
        <w:t xml:space="preserve">on 26 recorded Redfish services from six</w:t>
      </w:r>
      <w:r>
        <w:t xml:space="preserve"> </w:t>
      </w:r>
      <w:r>
        <w:t xml:space="preserve">vendor families and seven protocol versions, which quantifies placement</w:t>
      </w:r>
      <w:r>
        <w:t xml:space="preserve"> </w:t>
      </w:r>
      <w:r>
        <w:t xml:space="preserve">heterogeneity and compares SP-BFS with hard-coded navigation and with</w:t>
      </w:r>
      <w:r>
        <w:t xml:space="preserve"> </w:t>
      </w:r>
      <w:r>
        <w:t xml:space="preserve">exhaustive BFS/DFS (Chapter 7). All code, data and figures are</w:t>
      </w:r>
      <w:r>
        <w:t xml:space="preserve"> </w:t>
      </w:r>
      <w:r>
        <w:t xml:space="preserve">reproducible from the accompanying repository.</w:t>
      </w:r>
    </w:p>
    <w:bookmarkEnd w:id="25"/>
    <w:bookmarkStart w:id="26" w:name="thesis-outline"/>
    <w:p>
      <w:pPr>
        <w:pStyle w:val="Heading2"/>
      </w:pPr>
      <w:r>
        <w:t xml:space="preserve">1.5 Thesis Outline</w:t>
      </w:r>
    </w:p>
    <w:p>
      <w:pPr>
        <w:pStyle w:val="FirstParagraph"/>
      </w:pPr>
      <w:r>
        <w:t xml:space="preserve">Chapter 2 introduces out-of-band management, the Redfish data model</w:t>
      </w:r>
      <w:r>
        <w:t xml:space="preserve"> </w:t>
      </w:r>
      <w:r>
        <w:t xml:space="preserve">and graph search. Chapter 3 reviews prior work on Redfish-based</w:t>
      </w:r>
      <w:r>
        <w:t xml:space="preserve"> </w:t>
      </w:r>
      <w:r>
        <w:t xml:space="preserve">monitoring, hypermedia clients, web crawling and API evolution.</w:t>
      </w:r>
      <w:r>
        <w:t xml:space="preserve"> </w:t>
      </w:r>
      <w:r>
        <w:t xml:space="preserve">Chapter 4 formalises the discovery problem and characterises the</w:t>
      </w:r>
      <w:r>
        <w:t xml:space="preserve"> </w:t>
      </w:r>
      <w:r>
        <w:t xml:space="preserve">heterogeneity of real services. Chapter 5 presents SP-BFS and its</w:t>
      </w:r>
      <w:r>
        <w:t xml:space="preserve"> </w:t>
      </w:r>
      <w:r>
        <w:t xml:space="preserve">analysis, Chapter 6 the implementation, and Chapter 7 the evaluation.</w:t>
      </w:r>
      <w:r>
        <w:t xml:space="preserve"> </w:t>
      </w:r>
      <w:r>
        <w:t xml:space="preserve">Chapter 8 concludes and outlines future work.</w:t>
      </w:r>
    </w:p>
    <w:bookmarkEnd w:id="26"/>
    <w:bookmarkEnd w:id="27"/>
    <w:bookmarkStart w:id="34" w:name="background"/>
    <w:p>
      <w:pPr>
        <w:pStyle w:val="Heading1"/>
      </w:pPr>
      <w:r>
        <w:t xml:space="preserve">2 Background</w:t>
      </w:r>
    </w:p>
    <w:p>
      <w:pPr>
        <w:pStyle w:val="FirstParagraph"/>
      </w:pPr>
      <w:r>
        <w:t xml:space="preserve">This chapter summarises the technical foundations the thesis builds on: out-of-band</w:t>
      </w:r>
      <w:r>
        <w:t xml:space="preserve"> </w:t>
      </w:r>
      <w:r>
        <w:t xml:space="preserve">server management and its protocols (Section 2.1), the Redfish resource</w:t>
      </w:r>
      <w:r>
        <w:t xml:space="preserve"> </w:t>
      </w:r>
      <w:r>
        <w:t xml:space="preserve">model and its versioning rules (Section 2.2), and breadth-first search</w:t>
      </w:r>
      <w:r>
        <w:t xml:space="preserve"> </w:t>
      </w:r>
      <w:r>
        <w:t xml:space="preserve">(Section 2.3).</w:t>
      </w:r>
    </w:p>
    <w:bookmarkStart w:id="28" w:name="out-of-band-server-management"/>
    <w:p>
      <w:pPr>
        <w:pStyle w:val="Heading2"/>
      </w:pPr>
      <w:r>
        <w:t xml:space="preserve">2.1 Out-of-Band Server Management</w:t>
      </w:r>
    </w:p>
    <w:p>
      <w:pPr>
        <w:pStyle w:val="FirstParagraph"/>
      </w:pPr>
      <w:r>
        <w:rPr>
          <w:iCs/>
          <w:i/>
        </w:rPr>
        <w:t xml:space="preserve">Out-of-band</w:t>
      </w:r>
      <w:r>
        <w:t xml:space="preserve"> </w:t>
      </w:r>
      <w:r>
        <w:t xml:space="preserve">management refers to monitoring and controlling a computer</w:t>
      </w:r>
      <w:r>
        <w:t xml:space="preserve"> </w:t>
      </w:r>
      <w:r>
        <w:t xml:space="preserve">through a path that does not depend on its host operating system. In servers</w:t>
      </w:r>
      <w:r>
        <w:t xml:space="preserve"> </w:t>
      </w:r>
      <w:r>
        <w:t xml:space="preserve">this path is provided by the BMC, a service processor on the motherboard with its</w:t>
      </w:r>
      <w:r>
        <w:t xml:space="preserve"> </w:t>
      </w:r>
      <w:r>
        <w:t xml:space="preserve">own network interface, firmware and power domain. The BMC is connected to the</w:t>
      </w:r>
      <w:r>
        <w:t xml:space="preserve"> </w:t>
      </w:r>
      <w:r>
        <w:t xml:space="preserve">platform’s sensors (temperatures, voltages, fan tachometers), to the power</w:t>
      </w:r>
      <w:r>
        <w:t xml:space="preserve"> </w:t>
      </w:r>
      <w:r>
        <w:t xml:space="preserve">sequencing logic and, increasingly, to management buses of add-in devices such</w:t>
      </w:r>
      <w:r>
        <w:t xml:space="preserve"> </w:t>
      </w:r>
      <w:r>
        <w:t xml:space="preserve">as network adapters, storage controllers and GPUs. Vendor BMC products include</w:t>
      </w:r>
      <w:r>
        <w:t xml:space="preserve"> </w:t>
      </w:r>
      <w:r>
        <w:t xml:space="preserve">Dell’s iDRAC, HPE’s iLO and Lenovo’s XClarity Controller; OpenBMC is a Linux</w:t>
      </w:r>
      <w:r>
        <w:t xml:space="preserve"> </w:t>
      </w:r>
      <w:r>
        <w:t xml:space="preserve">Foundation project providing an open-source BMC firmware</w:t>
      </w:r>
      <w:r>
        <w:t xml:space="preserve"> </w:t>
      </w:r>
      <w:r>
        <w:t xml:space="preserve">stack </w:t>
      </w:r>
      <w:hyperlink w:anchor="ref-openbmc">
        <w:r>
          <w:rPr>
            <w:rStyle w:val="Hyperlink"/>
          </w:rPr>
          <w:t xml:space="preserve">[8]</w:t>
        </w:r>
      </w:hyperlink>
      <w:r>
        <w:t xml:space="preserve">.</w:t>
      </w:r>
    </w:p>
    <w:p>
      <w:pPr>
        <w:pStyle w:val="BodyText"/>
      </w:pPr>
      <w:r>
        <w:rPr>
          <w:bCs/>
          <w:b/>
        </w:rPr>
        <w:t xml:space="preserve">IPMI.</w:t>
      </w:r>
      <w:r>
        <w:t xml:space="preserve"> </w:t>
      </w:r>
      <w:r>
        <w:t xml:space="preserve">The Intelligent Platform Management Interface, specified by</w:t>
      </w:r>
      <w:r>
        <w:t xml:space="preserve"> </w:t>
      </w:r>
      <w:r>
        <w:t xml:space="preserve">Intel, HP, NEC and Dell in 1998 and last revised as version 2.0 in</w:t>
      </w:r>
      <w:r>
        <w:t xml:space="preserve"> </w:t>
      </w:r>
      <w:r>
        <w:t xml:space="preserve">2004 </w:t>
      </w:r>
      <w:hyperlink w:anchor="ref-ipmi_v2">
        <w:r>
          <w:rPr>
            <w:rStyle w:val="Hyperlink"/>
          </w:rPr>
          <w:t xml:space="preserve">[1]</w:t>
        </w:r>
      </w:hyperlink>
      <w:r>
        <w:t xml:space="preserve">, defines a binary request/response protocol (with the</w:t>
      </w:r>
      <w:r>
        <w:t xml:space="preserve"> </w:t>
      </w:r>
      <w:r>
        <w:t xml:space="preserve">RMCP+ transport over UDP) and a flat model of</w:t>
      </w:r>
      <w:r>
        <w:t xml:space="preserve"> </w:t>
      </w:r>
      <w:r>
        <w:rPr>
          <w:iCs/>
          <w:i/>
        </w:rPr>
        <w:t xml:space="preserve">sensor data records</w:t>
      </w:r>
      <w:r>
        <w:t xml:space="preserve">. IPMI</w:t>
      </w:r>
      <w:r>
        <w:t xml:space="preserve"> </w:t>
      </w:r>
      <w:r>
        <w:t xml:space="preserve">has three properties that motivated its replacement: its data model cannot</w:t>
      </w:r>
      <w:r>
        <w:t xml:space="preserve"> </w:t>
      </w:r>
      <w:r>
        <w:t xml:space="preserve">describe modern component hierarchies (multi-node chassis, NVMe drives, GPUs);</w:t>
      </w:r>
      <w:r>
        <w:t xml:space="preserve"> </w:t>
      </w:r>
      <w:r>
        <w:t xml:space="preserve">its commands are extended through vendor-specific OEM codes; and BMC firmware</w:t>
      </w:r>
      <w:r>
        <w:t xml:space="preserve"> </w:t>
      </w:r>
      <w:r>
        <w:t xml:space="preserve">built around it has a history of serious security weaknesses that expose the</w:t>
      </w:r>
      <w:r>
        <w:t xml:space="preserve"> </w:t>
      </w:r>
      <w:r>
        <w:t xml:space="preserve">whole server to attackers on the management network </w:t>
      </w:r>
      <w:hyperlink w:anchor="ref-bonkoski2013illuminating">
        <w:r>
          <w:rPr>
            <w:rStyle w:val="Hyperlink"/>
          </w:rPr>
          <w:t xml:space="preserve">[9]</w:t>
        </w:r>
      </w:hyperlink>
      <w:r>
        <w:t xml:space="preserve">.</w:t>
      </w:r>
    </w:p>
    <w:p>
      <w:pPr>
        <w:pStyle w:val="BodyText"/>
      </w:pPr>
      <w:r>
        <w:rPr>
          <w:bCs/>
          <w:b/>
        </w:rPr>
        <w:t xml:space="preserve">SNMP.</w:t>
      </w:r>
      <w:r>
        <w:t xml:space="preserve"> </w:t>
      </w:r>
      <w:r>
        <w:t xml:space="preserve">Many data centres monitor hardware via the Simple Network</w:t>
      </w:r>
      <w:r>
        <w:t xml:space="preserve"> </w:t>
      </w:r>
      <w:r>
        <w:t xml:space="preserve">Management Protocol </w:t>
      </w:r>
      <w:hyperlink w:anchor="ref-rfc1157">
        <w:r>
          <w:rPr>
            <w:rStyle w:val="Hyperlink"/>
          </w:rPr>
          <w:t xml:space="preserve">[10]</w:t>
        </w:r>
      </w:hyperlink>
      <w:r>
        <w:t xml:space="preserve">,</w:t>
      </w:r>
      <w:r>
        <w:t xml:space="preserve"> </w:t>
      </w:r>
      <w:hyperlink w:anchor="ref-rfc3411">
        <w:r>
          <w:rPr>
            <w:rStyle w:val="Hyperlink"/>
          </w:rPr>
          <w:t xml:space="preserve">[11]</w:t>
        </w:r>
      </w:hyperlink>
      <w:r>
        <w:t xml:space="preserve">, where a vendor MIB exposes BMC or</w:t>
      </w:r>
      <w:r>
        <w:t xml:space="preserve"> </w:t>
      </w:r>
      <w:r>
        <w:t xml:space="preserve">host-agent data as a tree of object identifiers. MIB trees are statically</w:t>
      </w:r>
      <w:r>
        <w:t xml:space="preserve"> </w:t>
      </w:r>
      <w:r>
        <w:t xml:space="preserve">numbered and vendor specific; a monitoring tool needs one MIB per vendor.</w:t>
      </w:r>
      <w:r>
        <w:t xml:space="preserve"> </w:t>
      </w:r>
      <w:r>
        <w:t xml:space="preserve">Interestingly, the SNMP</w:t>
      </w:r>
      <w:r>
        <w:t xml:space="preserve"> </w:t>
      </w:r>
      <w:r>
        <w:rPr>
          <w:rStyle w:val="VerbatimChar"/>
        </w:rPr>
        <w:t xml:space="preserve">GetNext</w:t>
      </w:r>
      <w:r>
        <w:t xml:space="preserve"> </w:t>
      </w:r>
      <w:r>
        <w:t xml:space="preserve">walk is itself a tree traversal, an</w:t>
      </w:r>
      <w:r>
        <w:t xml:space="preserve"> </w:t>
      </w:r>
      <w:r>
        <w:t xml:space="preserve">idea we revisit for Redfish.</w:t>
      </w:r>
    </w:p>
    <w:bookmarkEnd w:id="28"/>
    <w:bookmarkStart w:id="32" w:name="the-redfish-standard"/>
    <w:p>
      <w:pPr>
        <w:pStyle w:val="Heading2"/>
      </w:pPr>
      <w:r>
        <w:t xml:space="preserve">2.2 The Redfish Standard</w:t>
      </w:r>
    </w:p>
    <w:p>
      <w:pPr>
        <w:pStyle w:val="FirstParagraph"/>
      </w:pPr>
      <w:r>
        <w:t xml:space="preserve">Redfish is developed by the DMTF Redfish Forum (formerly the Scalable Platforms</w:t>
      </w:r>
      <w:r>
        <w:t xml:space="preserve"> </w:t>
      </w:r>
      <w:r>
        <w:t xml:space="preserve">Management Forum). Version 1.0 of the protocol specification DSP0266 was</w:t>
      </w:r>
      <w:r>
        <w:t xml:space="preserve"> </w:t>
      </w:r>
      <w:r>
        <w:t xml:space="preserve">released in 2015 </w:t>
      </w:r>
      <w:hyperlink w:anchor="ref-dmtf_dsp2044">
        <w:r>
          <w:rPr>
            <w:rStyle w:val="Hyperlink"/>
          </w:rPr>
          <w:t xml:space="preserve">[12]</w:t>
        </w:r>
      </w:hyperlink>
      <w:r>
        <w:t xml:space="preserve">; the protocol and its schemas have since been extended several</w:t>
      </w:r>
      <w:r>
        <w:t xml:space="preserve"> </w:t>
      </w:r>
      <w:r>
        <w:t xml:space="preserve">times a year </w:t>
      </w:r>
      <w:hyperlink w:anchor="ref-dmtf_dsp0266">
        <w:r>
          <w:rPr>
            <w:rStyle w:val="Hyperlink"/>
          </w:rPr>
          <w:t xml:space="preserve">[2]</w:t>
        </w:r>
      </w:hyperlink>
      <w:r>
        <w:t xml:space="preserve">,</w:t>
      </w:r>
      <w:r>
        <w:t xml:space="preserve"> </w:t>
      </w:r>
      <w:hyperlink w:anchor="ref-dmtf_dsp0268">
        <w:r>
          <w:rPr>
            <w:rStyle w:val="Hyperlink"/>
          </w:rPr>
          <w:t xml:space="preserve">[3]</w:t>
        </w:r>
      </w:hyperlink>
      <w:r>
        <w:t xml:space="preserve">,</w:t>
      </w:r>
      <w:r>
        <w:t xml:space="preserve"> </w:t>
      </w:r>
      <w:hyperlink w:anchor="ref-dmtf_dsp2046">
        <w:r>
          <w:rPr>
            <w:rStyle w:val="Hyperlink"/>
          </w:rPr>
          <w:t xml:space="preserve">[13]</w:t>
        </w:r>
      </w:hyperlink>
      <w:r>
        <w:t xml:space="preserve">. The Storage Networking Industry</w:t>
      </w:r>
      <w:r>
        <w:t xml:space="preserve"> </w:t>
      </w:r>
      <w:r>
        <w:t xml:space="preserve">Association (SNIA) extends Redfish for storage systems under the name</w:t>
      </w:r>
      <w:r>
        <w:t xml:space="preserve"> </w:t>
      </w:r>
      <w:r>
        <w:t xml:space="preserve">Swordfish </w:t>
      </w:r>
      <w:hyperlink w:anchor="ref-snia_swordfish">
        <w:r>
          <w:rPr>
            <w:rStyle w:val="Hyperlink"/>
          </w:rPr>
          <w:t xml:space="preserve">[14]</w:t>
        </w:r>
      </w:hyperlink>
      <w:r>
        <w:t xml:space="preserve">.</w:t>
      </w:r>
    </w:p>
    <w:bookmarkStart w:id="29" w:name="protocol"/>
    <w:p>
      <w:pPr>
        <w:pStyle w:val="Heading3"/>
      </w:pPr>
      <w:r>
        <w:t xml:space="preserve">2.2.1 Protocol</w:t>
      </w:r>
    </w:p>
    <w:p>
      <w:pPr>
        <w:pStyle w:val="FirstParagraph"/>
      </w:pPr>
      <w:r>
        <w:t xml:space="preserve">A Redfish service is an HTTPS server, usually running on the BMC. Its service</w:t>
      </w:r>
      <w:r>
        <w:t xml:space="preserve"> </w:t>
      </w:r>
      <w:r>
        <w:t xml:space="preserve">root is always</w:t>
      </w:r>
      <w:r>
        <w:t xml:space="preserve"> </w:t>
      </w:r>
      <w:r>
        <w:rPr>
          <w:rStyle w:val="VerbatimChar"/>
        </w:rPr>
        <w:t xml:space="preserve">/redfish/v1</w:t>
      </w:r>
      <w:r>
        <w:t xml:space="preserve">; all other URIs are</w:t>
      </w:r>
      <w:r>
        <w:t xml:space="preserve"> </w:t>
      </w:r>
      <w:r>
        <w:rPr>
          <w:iCs/>
          <w:i/>
        </w:rPr>
        <w:t xml:space="preserve">opaque</w:t>
      </w:r>
      <w:r>
        <w:t xml:space="preserve"> </w:t>
      </w:r>
      <w:r>
        <w:t xml:space="preserve">to clients,</w:t>
      </w:r>
      <w:r>
        <w:t xml:space="preserve"> </w:t>
      </w:r>
      <w:r>
        <w:t xml:space="preserve">which are expected to find them by following links. Resources are JSON</w:t>
      </w:r>
      <w:r>
        <w:t xml:space="preserve"> </w:t>
      </w:r>
      <w:r>
        <w:t xml:space="preserve">documents </w:t>
      </w:r>
      <w:hyperlink w:anchor="ref-rfc8259">
        <w:r>
          <w:rPr>
            <w:rStyle w:val="Hyperlink"/>
          </w:rPr>
          <w:t xml:space="preserve">[15]</w:t>
        </w:r>
      </w:hyperlink>
      <w:r>
        <w:t xml:space="preserve"> </w:t>
      </w:r>
      <w:r>
        <w:t xml:space="preserve">retrieved with</w:t>
      </w:r>
      <w:r>
        <w:t xml:space="preserve"> </w:t>
      </w:r>
      <w:r>
        <w:rPr>
          <w:rStyle w:val="VerbatimChar"/>
        </w:rPr>
        <w:t xml:space="preserve">GET</w:t>
      </w:r>
      <w:r>
        <w:t xml:space="preserve">; they are changed with</w:t>
      </w:r>
      <w:r>
        <w:t xml:space="preserve"> </w:t>
      </w:r>
      <w:r>
        <w:rPr>
          <w:rStyle w:val="VerbatimChar"/>
        </w:rPr>
        <w:t xml:space="preserve">PATCH</w:t>
      </w:r>
      <w:r>
        <w:t xml:space="preserve">, created in collections with</w:t>
      </w:r>
      <w:r>
        <w:t xml:space="preserve"> </w:t>
      </w:r>
      <w:r>
        <w:rPr>
          <w:rStyle w:val="VerbatimChar"/>
        </w:rPr>
        <w:t xml:space="preserve">POST</w:t>
      </w:r>
      <w:r>
        <w:t xml:space="preserve">, and</w:t>
      </w:r>
      <w:r>
        <w:t xml:space="preserve"> </w:t>
      </w:r>
      <w:r>
        <w:rPr>
          <w:iCs/>
          <w:i/>
        </w:rPr>
        <w:t xml:space="preserve">actions</w:t>
      </w:r>
      <w:r>
        <w:t xml:space="preserve"> </w:t>
      </w:r>
      <w:r>
        <w:t xml:space="preserve">(e.g. </w:t>
      </w:r>
      <w:r>
        <w:rPr>
          <w:rStyle w:val="VerbatimChar"/>
        </w:rPr>
        <w:t xml:space="preserve">ComputerSystem.Reset</w:t>
      </w:r>
      <w:r>
        <w:t xml:space="preserve">) are invoked by</w:t>
      </w:r>
      <w:r>
        <w:t xml:space="preserve"> </w:t>
      </w:r>
      <w:r>
        <w:rPr>
          <w:rStyle w:val="VerbatimChar"/>
        </w:rPr>
        <w:t xml:space="preserve">POST</w:t>
      </w:r>
      <w:r>
        <w:t xml:space="preserve"> </w:t>
      </w:r>
      <w:r>
        <w:t xml:space="preserve">on action</w:t>
      </w:r>
      <w:r>
        <w:t xml:space="preserve"> </w:t>
      </w:r>
      <w:r>
        <w:t xml:space="preserve">targets. Authentication uses HTTP Basic authentication or session tokens</w:t>
      </w:r>
      <w:r>
        <w:t xml:space="preserve"> </w:t>
      </w:r>
      <w:r>
        <w:t xml:space="preserve">(</w:t>
      </w:r>
      <w:r>
        <w:rPr>
          <w:rStyle w:val="VerbatimChar"/>
        </w:rPr>
        <w:t xml:space="preserve">X-Auth-Token</w:t>
      </w:r>
      <w:r>
        <w:t xml:space="preserve">). Besides the network path, the Host Interface specification lets</w:t>
      </w:r>
      <w:r>
        <w:t xml:space="preserve"> </w:t>
      </w:r>
      <w:r>
        <w:t xml:space="preserve">software on the host reach the same service in-band </w:t>
      </w:r>
      <w:hyperlink w:anchor="ref-dmtf_dsp0270">
        <w:r>
          <w:rPr>
            <w:rStyle w:val="Hyperlink"/>
          </w:rPr>
          <w:t xml:space="preserve">[16]</w:t>
        </w:r>
      </w:hyperlink>
      <w:r>
        <w:t xml:space="preserve">, and</w:t>
      </w:r>
      <w:r>
        <w:t xml:space="preserve"> </w:t>
      </w:r>
      <w:r>
        <w:t xml:space="preserve">PLDM for Redfish Device Enablement lets add-in devices such as network and</w:t>
      </w:r>
      <w:r>
        <w:t xml:space="preserve"> </w:t>
      </w:r>
      <w:r>
        <w:t xml:space="preserve">storage controllers contribute their own resources to the BMC’s</w:t>
      </w:r>
      <w:r>
        <w:t xml:space="preserve"> </w:t>
      </w:r>
      <w:r>
        <w:t xml:space="preserve">tree </w:t>
      </w:r>
      <w:hyperlink w:anchor="ref-dmtf_dsp0218">
        <w:r>
          <w:rPr>
            <w:rStyle w:val="Hyperlink"/>
          </w:rPr>
          <w:t xml:space="preserve">[17]</w:t>
        </w:r>
      </w:hyperlink>
      <w:r>
        <w:t xml:space="preserve">; the latter is one reason why the shape of the tree</w:t>
      </w:r>
      <w:r>
        <w:t xml:space="preserve"> </w:t>
      </w:r>
      <w:r>
        <w:t xml:space="preserve">depends on the installed hardware. The DMTF’s Redfish User Guide describes</w:t>
      </w:r>
      <w:r>
        <w:t xml:space="preserve"> </w:t>
      </w:r>
      <w:r>
        <w:t xml:space="preserve">typical client workflows on top of these mechanisms </w:t>
      </w:r>
      <w:hyperlink w:anchor="ref-dmtf_dsp2060">
        <w:r>
          <w:rPr>
            <w:rStyle w:val="Hyperlink"/>
          </w:rPr>
          <w:t xml:space="preserve">[18]</w:t>
        </w:r>
      </w:hyperlink>
      <w:r>
        <w:t xml:space="preserve">. The protocol borrows its conventions from the OASIS Open</w:t>
      </w:r>
      <w:r>
        <w:t xml:space="preserve"> </w:t>
      </w:r>
      <w:r>
        <w:t xml:space="preserve">Data Protocol (OData) version 4 </w:t>
      </w:r>
      <w:hyperlink w:anchor="ref-odata_v4">
        <w:r>
          <w:rPr>
            <w:rStyle w:val="Hyperlink"/>
          </w:rPr>
          <w:t xml:space="preserve">[19]</w:t>
        </w:r>
      </w:hyperlink>
      <w:r>
        <w:t xml:space="preserve">,</w:t>
      </w:r>
      <w:r>
        <w:t xml:space="preserve"> </w:t>
      </w:r>
      <w:hyperlink w:anchor="ref-odata_v4_json">
        <w:r>
          <w:rPr>
            <w:rStyle w:val="Hyperlink"/>
          </w:rPr>
          <w:t xml:space="preserve">[20]</w:t>
        </w:r>
      </w:hyperlink>
      <w:r>
        <w:t xml:space="preserve">,</w:t>
      </w:r>
      <w:r>
        <w:t xml:space="preserve"> </w:t>
      </w:r>
      <w:hyperlink w:anchor="ref-dmtf_dsp2052">
        <w:r>
          <w:rPr>
            <w:rStyle w:val="Hyperlink"/>
          </w:rPr>
          <w:t xml:space="preserve">[21]</w:t>
        </w:r>
      </w:hyperlink>
      <w:r>
        <w:t xml:space="preserve">:</w:t>
      </w:r>
    </w:p>
    <w:p>
      <w:pPr>
        <w:numPr>
          <w:ilvl w:val="0"/>
          <w:numId w:val="1003"/>
        </w:numPr>
      </w:pPr>
      <w:r>
        <w:rPr>
          <w:rStyle w:val="VerbatimChar"/>
        </w:rPr>
        <w:t xml:space="preserve">@odata.id</w:t>
      </w:r>
      <w:r>
        <w:t xml:space="preserve"> </w:t>
      </w:r>
      <w:r>
        <w:t xml:space="preserve">is the URI of a resource, and a JSON object of the form</w:t>
      </w:r>
      <w:r>
        <w:t xml:space="preserve"> </w:t>
      </w:r>
      <w:r>
        <w:rPr>
          <w:rStyle w:val="VerbatimChar"/>
        </w:rPr>
        <w:t xml:space="preserve">{"@odata.id": "/redfish/v1/Systems/1"}</w:t>
      </w:r>
      <w:r>
        <w:t xml:space="preserve"> </w:t>
      </w:r>
      <w:r>
        <w:t xml:space="preserve">is a</w:t>
      </w:r>
      <w:r>
        <w:t xml:space="preserve"> </w:t>
      </w:r>
      <w:r>
        <w:rPr>
          <w:iCs/>
          <w:i/>
        </w:rPr>
        <w:t xml:space="preserve">reference</w:t>
      </w:r>
      <w:r>
        <w:t xml:space="preserve"> </w:t>
      </w:r>
      <w:r>
        <w:t xml:space="preserve">to</w:t>
      </w:r>
      <w:r>
        <w:t xml:space="preserve"> </w:t>
      </w:r>
      <w:r>
        <w:t xml:space="preserve">another resource;</w:t>
      </w:r>
    </w:p>
    <w:p>
      <w:pPr>
        <w:numPr>
          <w:ilvl w:val="0"/>
          <w:numId w:val="1003"/>
        </w:numPr>
      </w:pPr>
      <w:r>
        <w:rPr>
          <w:rStyle w:val="VerbatimChar"/>
        </w:rPr>
        <w:t xml:space="preserve">@odata.type</w:t>
      </w:r>
      <w:r>
        <w:t xml:space="preserve"> </w:t>
      </w:r>
      <w:r>
        <w:t xml:space="preserve">is the fully qualified, versioned type of a resource,</w:t>
      </w:r>
      <w:r>
        <w:t xml:space="preserve"> </w:t>
      </w:r>
      <w:r>
        <w:t xml:space="preserve">e.g. </w:t>
      </w:r>
      <w:r>
        <w:rPr>
          <w:rStyle w:val="VerbatimChar"/>
        </w:rPr>
        <w:t xml:space="preserve">#Processor.v1_7_0.Processor</w:t>
      </w:r>
      <w:r>
        <w:t xml:space="preserve">;</w:t>
      </w:r>
    </w:p>
    <w:p>
      <w:pPr>
        <w:numPr>
          <w:ilvl w:val="0"/>
          <w:numId w:val="1003"/>
        </w:numPr>
      </w:pPr>
      <w:r>
        <w:t xml:space="preserve">a</w:t>
      </w:r>
      <w:r>
        <w:t xml:space="preserve"> </w:t>
      </w:r>
      <w:r>
        <w:rPr>
          <w:iCs/>
          <w:i/>
        </w:rPr>
        <w:t xml:space="preserve">resource collection</w:t>
      </w:r>
      <w:r>
        <w:t xml:space="preserve"> </w:t>
      </w:r>
      <w:r>
        <w:t xml:space="preserve">has a</w:t>
      </w:r>
      <w:r>
        <w:t xml:space="preserve"> </w:t>
      </w:r>
      <w:r>
        <w:rPr>
          <w:rStyle w:val="VerbatimChar"/>
        </w:rPr>
        <w:t xml:space="preserve">Members</w:t>
      </w:r>
      <w:r>
        <w:t xml:space="preserve"> </w:t>
      </w:r>
      <w:r>
        <w:t xml:space="preserve">array of references and</w:t>
      </w:r>
      <w:r>
        <w:t xml:space="preserve"> </w:t>
      </w:r>
      <w:r>
        <w:t xml:space="preserve">a</w:t>
      </w:r>
      <w:r>
        <w:t xml:space="preserve"> </w:t>
      </w:r>
      <w:r>
        <w:rPr>
          <w:rStyle w:val="VerbatimChar"/>
        </w:rPr>
        <w:t xml:space="preserve">Members@odata.count</w:t>
      </w:r>
      <w:r>
        <w:t xml:space="preserve">; long collections are paged with</w:t>
      </w:r>
      <w:r>
        <w:t xml:space="preserve"> </w:t>
      </w:r>
      <w:r>
        <w:rPr>
          <w:rStyle w:val="VerbatimChar"/>
        </w:rPr>
        <w:t xml:space="preserve">Members@odata.nextLink</w:t>
      </w:r>
      <w:r>
        <w:t xml:space="preserve">;</w:t>
      </w:r>
    </w:p>
    <w:p>
      <w:pPr>
        <w:numPr>
          <w:ilvl w:val="0"/>
          <w:numId w:val="1003"/>
        </w:numPr>
      </w:pPr>
      <w:r>
        <w:t xml:space="preserve">query parameters such as</w:t>
      </w:r>
      <w:r>
        <w:t xml:space="preserve"> </w:t>
      </w:r>
      <w:r>
        <w:rPr>
          <w:rStyle w:val="VerbatimChar"/>
        </w:rPr>
        <w:t xml:space="preserve">$expand</w:t>
      </w:r>
      <w:r>
        <w:t xml:space="preserve">,</w:t>
      </w:r>
      <w:r>
        <w:t xml:space="preserve"> </w:t>
      </w:r>
      <w:r>
        <w:rPr>
          <w:rStyle w:val="VerbatimChar"/>
        </w:rPr>
        <w:t xml:space="preserve">$select</w:t>
      </w:r>
      <w:r>
        <w:t xml:space="preserve"> </w:t>
      </w:r>
      <w:r>
        <w:t xml:space="preserve">and</w:t>
      </w:r>
      <w:r>
        <w:t xml:space="preserve"> </w:t>
      </w:r>
      <w:r>
        <w:rPr>
          <w:rStyle w:val="VerbatimChar"/>
        </w:rPr>
        <w:t xml:space="preserve">$filter</w:t>
      </w:r>
      <w:r>
        <w:t xml:space="preserve"> </w:t>
      </w:r>
      <w:r>
        <w:t xml:space="preserve">are optional features that a service may advertise in its</w:t>
      </w:r>
      <w:r>
        <w:t xml:space="preserve"> </w:t>
      </w:r>
      <w:r>
        <w:rPr>
          <w:rStyle w:val="VerbatimChar"/>
        </w:rPr>
        <w:t xml:space="preserve">ProtocolFeaturesSupported</w:t>
      </w:r>
      <w:r>
        <w:t xml:space="preserve"> </w:t>
      </w:r>
      <w:r>
        <w:t xml:space="preserve">object.</w:t>
      </w:r>
    </w:p>
    <w:p>
      <w:pPr>
        <w:pStyle w:val="FirstParagraph"/>
      </w:pPr>
      <w:r>
        <w:t xml:space="preserve">Listing 2.1 shows a processor resource from a DMTF reference</w:t>
      </w:r>
      <w:r>
        <w:t xml:space="preserve"> </w:t>
      </w:r>
      <w:r>
        <w:t xml:space="preserve">mockup. Its link</w:t>
      </w:r>
      <w:r>
        <w:t xml:space="preserve"> </w:t>
      </w:r>
      <w:r>
        <w:rPr>
          <w:rStyle w:val="VerbatimChar"/>
        </w:rPr>
        <w:t xml:space="preserve">EnvironmentMetrics</w:t>
      </w:r>
      <w:r>
        <w:t xml:space="preserve"> </w:t>
      </w:r>
      <w:r>
        <w:t xml:space="preserve">leads to a subordinate resource, whereas</w:t>
      </w:r>
      <w:r>
        <w:t xml:space="preserve"> </w:t>
      </w:r>
      <w:r>
        <w:rPr>
          <w:rStyle w:val="VerbatimChar"/>
        </w:rPr>
        <w:t xml:space="preserve">OriginOfCondition</w:t>
      </w:r>
      <w:r>
        <w:t xml:space="preserve">, nested in the status conditions, merely points to the</w:t>
      </w:r>
      <w:r>
        <w:t xml:space="preserve"> </w:t>
      </w:r>
      <w:r>
        <w:t xml:space="preserve">sensor that raised a warning and lives elsewhere in the hierarchy.</w:t>
      </w:r>
    </w:p>
    <w:p>
      <w:pPr>
        <w:pStyle w:val="BodyText"/>
      </w:pPr>
      <w:r>
        <w:rPr>
          <w:bCs/>
          <w:b/>
        </w:rPr>
        <w:t xml:space="preserve">Listing 2.1:</w:t>
      </w:r>
      <w:r>
        <w:t xml:space="preserve"> </w:t>
      </w:r>
      <w:r>
        <w:t xml:space="preserve">Abridged</w:t>
      </w:r>
      <w:r>
        <w:t xml:space="preserve"> </w:t>
      </w:r>
      <w:r>
        <w:rPr>
          <w:rStyle w:val="VerbatimChar"/>
        </w:rPr>
        <w:t xml:space="preserve">Processor</w:t>
      </w:r>
      <w:r>
        <w:t xml:space="preserve"> </w:t>
      </w:r>
      <w:r>
        <w:t xml:space="preserve">resource (DMTF mockup</w:t>
      </w:r>
      <w:r>
        <w:t xml:space="preserve"> </w:t>
      </w:r>
      <w:r>
        <w:rPr>
          <w:rStyle w:val="VerbatimChar"/>
        </w:rPr>
        <w:t xml:space="preserve">public-rackmount1</w:t>
      </w:r>
      <w:r>
        <w:t xml:space="preserve">, schema bundle 2026.2).</w:t>
      </w:r>
    </w:p>
    <w:p>
      <w:pPr>
        <w:pStyle w:val="SourceCode"/>
      </w:pPr>
      <w:r>
        <w:rPr>
          <w:rStyle w:val="VerbatimChar"/>
        </w:rPr>
        <w:t xml:space="preserve">{</w:t>
      </w:r>
      <w:r>
        <w:br/>
      </w:r>
      <w:r>
        <w:rPr>
          <w:rStyle w:val="VerbatimChar"/>
        </w:rPr>
        <w:t xml:space="preserve">  "@odata.id": "/redfish/v1/Systems/437XR1138R2/Processors/CPU1",</w:t>
      </w:r>
      <w:r>
        <w:br/>
      </w:r>
      <w:r>
        <w:rPr>
          <w:rStyle w:val="VerbatimChar"/>
        </w:rPr>
        <w:t xml:space="preserve">  "@odata.type": "#Processor.v1_24_0.Processor",</w:t>
      </w:r>
      <w:r>
        <w:br/>
      </w:r>
      <w:r>
        <w:rPr>
          <w:rStyle w:val="VerbatimChar"/>
        </w:rPr>
        <w:t xml:space="preserve">  "Id": "CPU1",</w:t>
      </w:r>
      <w:r>
        <w:br/>
      </w:r>
      <w:r>
        <w:rPr>
          <w:rStyle w:val="VerbatimChar"/>
        </w:rPr>
        <w:t xml:space="preserve">  "Socket": "CPU 1",</w:t>
      </w:r>
      <w:r>
        <w:br/>
      </w:r>
      <w:r>
        <w:rPr>
          <w:rStyle w:val="VerbatimChar"/>
        </w:rPr>
        <w:t xml:space="preserve">  "ProcessorType": "CPU",</w:t>
      </w:r>
      <w:r>
        <w:br/>
      </w:r>
      <w:r>
        <w:rPr>
          <w:rStyle w:val="VerbatimChar"/>
        </w:rPr>
        <w:t xml:space="preserve">  "TotalCores": 8,</w:t>
      </w:r>
      <w:r>
        <w:br/>
      </w:r>
      <w:r>
        <w:rPr>
          <w:rStyle w:val="VerbatimChar"/>
        </w:rPr>
        <w:t xml:space="preserve">  "Status": {</w:t>
      </w:r>
      <w:r>
        <w:br/>
      </w:r>
      <w:r>
        <w:rPr>
          <w:rStyle w:val="VerbatimChar"/>
        </w:rPr>
        <w:t xml:space="preserve">    "State": "Enabled", "Health": "OK", "HealthRollup": "Warning",</w:t>
      </w:r>
      <w:r>
        <w:br/>
      </w:r>
      <w:r>
        <w:rPr>
          <w:rStyle w:val="VerbatimChar"/>
        </w:rPr>
        <w:t xml:space="preserve">    "Conditions": [ {</w:t>
      </w:r>
      <w:r>
        <w:br/>
      </w:r>
      <w:r>
        <w:rPr>
          <w:rStyle w:val="VerbatimChar"/>
        </w:rPr>
        <w:t xml:space="preserve">      "MessageId": "Sensor.1.0.ReadingAboveUpperCautionThreshold",</w:t>
      </w:r>
      <w:r>
        <w:br/>
      </w:r>
      <w:r>
        <w:rPr>
          <w:rStyle w:val="VerbatimChar"/>
        </w:rPr>
        <w:t xml:space="preserve">      "OriginOfCondition": { "@odata.id": "/redfish/v1/Chassis/1U/Sensors/CPU1Temp" }</w:t>
      </w:r>
      <w:r>
        <w:br/>
      </w:r>
      <w:r>
        <w:rPr>
          <w:rStyle w:val="VerbatimChar"/>
        </w:rPr>
        <w:t xml:space="preserve">    } ]</w:t>
      </w:r>
      <w:r>
        <w:br/>
      </w:r>
      <w:r>
        <w:rPr>
          <w:rStyle w:val="VerbatimChar"/>
        </w:rPr>
        <w:t xml:space="preserve">  },</w:t>
      </w:r>
      <w:r>
        <w:br/>
      </w:r>
      <w:r>
        <w:rPr>
          <w:rStyle w:val="VerbatimChar"/>
        </w:rPr>
        <w:t xml:space="preserve">  "EnvironmentMetrics": {</w:t>
      </w:r>
      <w:r>
        <w:br/>
      </w:r>
      <w:r>
        <w:rPr>
          <w:rStyle w:val="VerbatimChar"/>
        </w:rPr>
        <w:t xml:space="preserve">    "@odata.id": "/redfish/v1/Systems/437XR1138R2/Processors/CPU1/EnvironmentMetrics"</w:t>
      </w:r>
      <w:r>
        <w:br/>
      </w:r>
      <w:r>
        <w:rPr>
          <w:rStyle w:val="VerbatimChar"/>
        </w:rPr>
        <w:t xml:space="preserve">  }</w:t>
      </w:r>
      <w:r>
        <w:br/>
      </w:r>
      <w:r>
        <w:rPr>
          <w:rStyle w:val="VerbatimChar"/>
        </w:rPr>
        <w:t xml:space="preserve">}</w:t>
      </w:r>
    </w:p>
    <w:bookmarkEnd w:id="29"/>
    <w:bookmarkStart w:id="30" w:name="resource-model"/>
    <w:p>
      <w:pPr>
        <w:pStyle w:val="Heading3"/>
      </w:pPr>
      <w:r>
        <w:t xml:space="preserve">2.2.2 Resource model</w:t>
      </w:r>
    </w:p>
    <w:p>
      <w:pPr>
        <w:pStyle w:val="FirstParagraph"/>
      </w:pPr>
      <w:r>
        <w:t xml:space="preserve">The schema defines roughly three hundred resource types. The top of the</w:t>
      </w:r>
      <w:r>
        <w:t xml:space="preserve"> </w:t>
      </w:r>
      <w:r>
        <w:t xml:space="preserve">hierarchy is fixed by the service root, which links to collections such as</w:t>
      </w:r>
      <w:r>
        <w:t xml:space="preserve"> </w:t>
      </w:r>
      <w:r>
        <w:rPr>
          <w:rStyle w:val="VerbatimChar"/>
        </w:rPr>
        <w:t xml:space="preserve">Systems</w:t>
      </w:r>
      <w:r>
        <w:t xml:space="preserve"> </w:t>
      </w:r>
      <w:r>
        <w:t xml:space="preserve">(logical computer systems),</w:t>
      </w:r>
      <w:r>
        <w:t xml:space="preserve"> </w:t>
      </w:r>
      <w:r>
        <w:rPr>
          <w:rStyle w:val="VerbatimChar"/>
        </w:rPr>
        <w:t xml:space="preserve">Chassis</w:t>
      </w:r>
      <w:r>
        <w:t xml:space="preserve"> </w:t>
      </w:r>
      <w:r>
        <w:t xml:space="preserve">(physical enclosures and</w:t>
      </w:r>
      <w:r>
        <w:t xml:space="preserve"> </w:t>
      </w:r>
      <w:r>
        <w:t xml:space="preserve">boards),</w:t>
      </w:r>
      <w:r>
        <w:t xml:space="preserve"> </w:t>
      </w:r>
      <w:r>
        <w:rPr>
          <w:rStyle w:val="VerbatimChar"/>
        </w:rPr>
        <w:t xml:space="preserve">Managers</w:t>
      </w:r>
      <w:r>
        <w:t xml:space="preserve"> </w:t>
      </w:r>
      <w:r>
        <w:t xml:space="preserve">(BMCs),</w:t>
      </w:r>
      <w:r>
        <w:t xml:space="preserve"> </w:t>
      </w:r>
      <w:r>
        <w:rPr>
          <w:rStyle w:val="VerbatimChar"/>
        </w:rPr>
        <w:t xml:space="preserve">UpdateService</w:t>
      </w:r>
      <w:r>
        <w:t xml:space="preserve">,</w:t>
      </w:r>
      <w:r>
        <w:t xml:space="preserve"> </w:t>
      </w:r>
      <w:r>
        <w:rPr>
          <w:rStyle w:val="VerbatimChar"/>
        </w:rPr>
        <w:t xml:space="preserve">SessionService</w:t>
      </w:r>
      <w:r>
        <w:t xml:space="preserve">,</w:t>
      </w:r>
      <w:r>
        <w:t xml:space="preserve"> </w:t>
      </w:r>
      <w:r>
        <w:rPr>
          <w:rStyle w:val="VerbatimChar"/>
        </w:rPr>
        <w:t xml:space="preserve">AccountService</w:t>
      </w:r>
      <w:r>
        <w:t xml:space="preserve">,</w:t>
      </w:r>
      <w:r>
        <w:t xml:space="preserve"> </w:t>
      </w:r>
      <w:r>
        <w:rPr>
          <w:rStyle w:val="VerbatimChar"/>
        </w:rPr>
        <w:t xml:space="preserve">EventService</w:t>
      </w:r>
      <w:r>
        <w:t xml:space="preserve">,</w:t>
      </w:r>
      <w:r>
        <w:t xml:space="preserve"> </w:t>
      </w:r>
      <w:r>
        <w:rPr>
          <w:rStyle w:val="VerbatimChar"/>
        </w:rPr>
        <w:t xml:space="preserve">Registries</w:t>
      </w:r>
      <w:r>
        <w:t xml:space="preserve"> </w:t>
      </w:r>
      <w:r>
        <w:t xml:space="preserve">and</w:t>
      </w:r>
      <w:r>
        <w:t xml:space="preserve"> </w:t>
      </w:r>
      <w:r>
        <w:rPr>
          <w:rStyle w:val="VerbatimChar"/>
        </w:rPr>
        <w:t xml:space="preserve">JsonSchemas</w:t>
      </w:r>
      <w:r>
        <w:t xml:space="preserve">.</w:t>
      </w:r>
      <w:r>
        <w:t xml:space="preserve"> </w:t>
      </w:r>
      <w:r>
        <w:t xml:space="preserve">Hardware components are reached from systems and chassis:</w:t>
      </w:r>
    </w:p>
    <w:p>
      <w:pPr>
        <w:numPr>
          <w:ilvl w:val="0"/>
          <w:numId w:val="1004"/>
        </w:numPr>
      </w:pPr>
      <w:r>
        <w:rPr>
          <w:rStyle w:val="VerbatimChar"/>
        </w:rPr>
        <w:t xml:space="preserve">ComputerSystem</w:t>
      </w:r>
      <w:r>
        <w:t xml:space="preserve"> </w:t>
      </w:r>
      <m:oMath>
        <m:r>
          <m:rPr>
            <m:sty m:val="p"/>
          </m:rPr>
          <m:t>→</m:t>
        </m:r>
      </m:oMath>
      <w:r>
        <w:t xml:space="preserve"> </w:t>
      </w:r>
      <w:r>
        <w:rPr>
          <w:rStyle w:val="VerbatimChar"/>
        </w:rPr>
        <w:t xml:space="preserve">Processors</w:t>
      </w:r>
      <w:r>
        <w:t xml:space="preserve">,</w:t>
      </w:r>
      <w:r>
        <w:t xml:space="preserve"> </w:t>
      </w:r>
      <w:r>
        <w:rPr>
          <w:rStyle w:val="VerbatimChar"/>
        </w:rPr>
        <w:t xml:space="preserve">Memory</w:t>
      </w:r>
      <w:r>
        <w:t xml:space="preserve">,</w:t>
      </w:r>
      <w:r>
        <w:t xml:space="preserve"> </w:t>
      </w:r>
      <w:r>
        <w:rPr>
          <w:rStyle w:val="VerbatimChar"/>
        </w:rPr>
        <w:t xml:space="preserve">Storage</w:t>
      </w:r>
      <w:r>
        <w:t xml:space="preserve">,</w:t>
      </w:r>
      <w:r>
        <w:t xml:space="preserve"> </w:t>
      </w:r>
      <w:r>
        <w:rPr>
          <w:rStyle w:val="VerbatimChar"/>
        </w:rPr>
        <w:t xml:space="preserve">SimpleStorage</w:t>
      </w:r>
      <w:r>
        <w:t xml:space="preserve">,</w:t>
      </w:r>
      <w:r>
        <w:t xml:space="preserve"> </w:t>
      </w:r>
      <w:r>
        <w:rPr>
          <w:rStyle w:val="VerbatimChar"/>
        </w:rPr>
        <w:t xml:space="preserve">EthernetInterfaces</w:t>
      </w:r>
      <w:r>
        <w:t xml:space="preserve">,</w:t>
      </w:r>
      <w:r>
        <w:t xml:space="preserve"> </w:t>
      </w:r>
      <w:r>
        <w:rPr>
          <w:rStyle w:val="VerbatimChar"/>
        </w:rPr>
        <w:t xml:space="preserve">NetworkInterfaces</w:t>
      </w:r>
      <w:r>
        <w:t xml:space="preserve">, …</w:t>
      </w:r>
    </w:p>
    <w:p>
      <w:pPr>
        <w:numPr>
          <w:ilvl w:val="0"/>
          <w:numId w:val="1004"/>
        </w:numPr>
      </w:pPr>
      <w:r>
        <w:rPr>
          <w:rStyle w:val="VerbatimChar"/>
        </w:rPr>
        <w:t xml:space="preserve">Chassis</w:t>
      </w:r>
      <w:r>
        <w:t xml:space="preserve"> </w:t>
      </w:r>
      <m:oMath>
        <m:r>
          <m:rPr>
            <m:sty m:val="p"/>
          </m:rPr>
          <m:t>→</m:t>
        </m:r>
      </m:oMath>
      <w:r>
        <w:t xml:space="preserve"> </w:t>
      </w:r>
      <w:r>
        <w:rPr>
          <w:rStyle w:val="VerbatimChar"/>
        </w:rPr>
        <w:t xml:space="preserve">Power</w:t>
      </w:r>
      <w:r>
        <w:t xml:space="preserve"> </w:t>
      </w:r>
      <w:r>
        <w:t xml:space="preserve">/</w:t>
      </w:r>
      <w:r>
        <w:t xml:space="preserve"> </w:t>
      </w:r>
      <w:r>
        <w:rPr>
          <w:rStyle w:val="VerbatimChar"/>
        </w:rPr>
        <w:t xml:space="preserve">PowerSubsystem</w:t>
      </w:r>
      <w:r>
        <w:t xml:space="preserve">,</w:t>
      </w:r>
      <w:r>
        <w:t xml:space="preserve"> </w:t>
      </w:r>
      <w:r>
        <w:rPr>
          <w:rStyle w:val="VerbatimChar"/>
        </w:rPr>
        <w:t xml:space="preserve">Thermal</w:t>
      </w:r>
      <w:r>
        <w:t xml:space="preserve"> </w:t>
      </w:r>
      <w:r>
        <w:t xml:space="preserve">/</w:t>
      </w:r>
      <w:r>
        <w:t xml:space="preserve"> </w:t>
      </w:r>
      <w:r>
        <w:rPr>
          <w:rStyle w:val="VerbatimChar"/>
        </w:rPr>
        <w:t xml:space="preserve">ThermalSubsystem</w:t>
      </w:r>
      <w:r>
        <w:t xml:space="preserve">,</w:t>
      </w:r>
      <w:r>
        <w:t xml:space="preserve"> </w:t>
      </w:r>
      <w:r>
        <w:rPr>
          <w:rStyle w:val="VerbatimChar"/>
        </w:rPr>
        <w:t xml:space="preserve">Sensors</w:t>
      </w:r>
      <w:r>
        <w:t xml:space="preserve">,</w:t>
      </w:r>
      <w:r>
        <w:t xml:space="preserve"> </w:t>
      </w:r>
      <w:r>
        <w:rPr>
          <w:rStyle w:val="VerbatimChar"/>
        </w:rPr>
        <w:t xml:space="preserve">NetworkAdapters</w:t>
      </w:r>
      <w:r>
        <w:t xml:space="preserve">,</w:t>
      </w:r>
      <w:r>
        <w:t xml:space="preserve"> </w:t>
      </w:r>
      <w:r>
        <w:rPr>
          <w:rStyle w:val="VerbatimChar"/>
        </w:rPr>
        <w:t xml:space="preserve">Drives</w:t>
      </w:r>
      <w:r>
        <w:t xml:space="preserve">,</w:t>
      </w:r>
      <w:r>
        <w:t xml:space="preserve"> </w:t>
      </w:r>
      <w:r>
        <w:rPr>
          <w:rStyle w:val="VerbatimChar"/>
        </w:rPr>
        <w:t xml:space="preserve">PCIeDevices</w:t>
      </w:r>
      <w:r>
        <w:t xml:space="preserve">, …</w:t>
      </w:r>
    </w:p>
    <w:p>
      <w:pPr>
        <w:pStyle w:val="FirstParagraph"/>
      </w:pPr>
      <w:r>
        <w:t xml:space="preserve">The specification distinguishes two kinds of links. Properties of a resource</w:t>
      </w:r>
      <w:r>
        <w:t xml:space="preserve"> </w:t>
      </w:r>
      <w:r>
        <w:t xml:space="preserve">that reference</w:t>
      </w:r>
      <w:r>
        <w:t xml:space="preserve"> </w:t>
      </w:r>
      <w:r>
        <w:rPr>
          <w:iCs/>
          <w:i/>
        </w:rPr>
        <w:t xml:space="preserve">subordinate</w:t>
      </w:r>
      <w:r>
        <w:t xml:space="preserve"> </w:t>
      </w:r>
      <w:r>
        <w:t xml:space="preserve">resources (</w:t>
      </w:r>
      <w:r>
        <w:rPr>
          <w:rStyle w:val="VerbatimChar"/>
        </w:rPr>
        <w:t xml:space="preserve">Processors</w:t>
      </w:r>
      <w:r>
        <w:t xml:space="preserve">,</w:t>
      </w:r>
      <w:r>
        <w:t xml:space="preserve"> </w:t>
      </w:r>
      <w:r>
        <w:rPr>
          <w:rStyle w:val="VerbatimChar"/>
        </w:rPr>
        <w:t xml:space="preserve">Power</w:t>
      </w:r>
      <w:r>
        <w:t xml:space="preserve">,</w:t>
      </w:r>
      <w:r>
        <w:t xml:space="preserve"> </w:t>
      </w:r>
      <w:r>
        <w:rPr>
          <w:rStyle w:val="VerbatimChar"/>
        </w:rPr>
        <w:t xml:space="preserve">Members</w:t>
      </w:r>
      <w:r>
        <w:t xml:space="preserve">) define a containment hierarchy. References inside the</w:t>
      </w:r>
      <w:r>
        <w:t xml:space="preserve"> </w:t>
      </w:r>
      <w:r>
        <w:rPr>
          <w:rStyle w:val="VerbatimChar"/>
        </w:rPr>
        <w:t xml:space="preserve">Links</w:t>
      </w:r>
      <w:r>
        <w:t xml:space="preserve"> </w:t>
      </w:r>
      <w:r>
        <w:t xml:space="preserve">object express other relations and</w:t>
      </w:r>
      <w:r>
        <w:t xml:space="preserve"> </w:t>
      </w:r>
      <w:r>
        <w:t xml:space="preserve">“</w:t>
      </w:r>
      <w:r>
        <w:t xml:space="preserve">shall contain links to resources that are</w:t>
      </w:r>
      <w:r>
        <w:t xml:space="preserve"> </w:t>
      </w:r>
      <w:r>
        <w:t xml:space="preserve">related to but are not contained by, or subordinate to, this</w:t>
      </w:r>
      <w:r>
        <w:t xml:space="preserve"> </w:t>
      </w:r>
      <w:r>
        <w:t xml:space="preserve">resource</w:t>
      </w:r>
      <w:r>
        <w:t xml:space="preserve">”</w:t>
      </w:r>
      <w:r>
        <w:t xml:space="preserve"> </w:t>
      </w:r>
      <w:hyperlink w:anchor="ref-dmtf_dsp8010">
        <w:r>
          <w:rPr>
            <w:rStyle w:val="Hyperlink"/>
          </w:rPr>
          <w:t xml:space="preserve">[22]</w:t>
        </w:r>
      </w:hyperlink>
      <w:r>
        <w:t xml:space="preserve">. Two further groups of references do not denote</w:t>
      </w:r>
      <w:r>
        <w:t xml:space="preserve"> </w:t>
      </w:r>
      <w:r>
        <w:t xml:space="preserve">containment either:</w:t>
      </w:r>
      <w:r>
        <w:t xml:space="preserve"> </w:t>
      </w:r>
      <w:r>
        <w:rPr>
          <w:rStyle w:val="VerbatimChar"/>
        </w:rPr>
        <w:t xml:space="preserve">Actions</w:t>
      </w:r>
      <w:r>
        <w:t xml:space="preserve"> </w:t>
      </w:r>
      <w:r>
        <w:t xml:space="preserve">contain POST targets, and the object</w:t>
      </w:r>
      <w:r>
        <w:t xml:space="preserve"> </w:t>
      </w:r>
      <w:r>
        <w:rPr>
          <w:rStyle w:val="VerbatimChar"/>
        </w:rPr>
        <w:t xml:space="preserve">Oem</w:t>
      </w:r>
      <w:r>
        <w:t xml:space="preserve"> </w:t>
      </w:r>
      <w:r>
        <w:t xml:space="preserve">holds vendor-defined extensions, whose content is outside the standard.</w:t>
      </w:r>
    </w:p>
    <w:bookmarkEnd w:id="30"/>
    <w:bookmarkStart w:id="31" w:name="schemas-and-versioning"/>
    <w:p>
      <w:pPr>
        <w:pStyle w:val="Heading3"/>
      </w:pPr>
      <w:r>
        <w:t xml:space="preserve">2.2.3 Schemas and versioning</w:t>
      </w:r>
    </w:p>
    <w:p>
      <w:pPr>
        <w:pStyle w:val="FirstParagraph"/>
      </w:pPr>
      <w:r>
        <w:t xml:space="preserve">Every resource type is published by the DMTF as CSDL (OData XML), JSON</w:t>
      </w:r>
      <w:r>
        <w:t xml:space="preserve"> </w:t>
      </w:r>
      <w:r>
        <w:t xml:space="preserve">Schema </w:t>
      </w:r>
      <w:hyperlink w:anchor="ref-jsonschema2022">
        <w:r>
          <w:rPr>
            <w:rStyle w:val="Hyperlink"/>
          </w:rPr>
          <w:t xml:space="preserve">[23]</w:t>
        </w:r>
      </w:hyperlink>
      <w:r>
        <w:t xml:space="preserve"> </w:t>
      </w:r>
      <w:r>
        <w:t xml:space="preserve">and OpenAPI </w:t>
      </w:r>
      <w:hyperlink w:anchor="ref-openapi31">
        <w:r>
          <w:rPr>
            <w:rStyle w:val="Hyperlink"/>
          </w:rPr>
          <w:t xml:space="preserve">[24]</w:t>
        </w:r>
      </w:hyperlink>
      <w:r>
        <w:t xml:space="preserve"> </w:t>
      </w:r>
      <w:r>
        <w:t xml:space="preserve">documents in the schema bundle DSP8010. A JSON Schema</w:t>
      </w:r>
      <w:r>
        <w:t xml:space="preserve"> </w:t>
      </w:r>
      <w:r>
        <w:t xml:space="preserve">file exists for every released version of every type (e.g. </w:t>
      </w:r>
      <w:r>
        <w:rPr>
          <w:rStyle w:val="VerbatimChar"/>
        </w:rPr>
        <w:t xml:space="preserve">Chassis.v1_9_0.json</w:t>
      </w:r>
      <w:r>
        <w:t xml:space="preserve">), plus an unversioned file listing all versions.</w:t>
      </w:r>
      <w:r>
        <w:t xml:space="preserve"> </w:t>
      </w:r>
      <w:r>
        <w:t xml:space="preserve">Redfish follows strict compatibility rules: minor versions only add properties,</w:t>
      </w:r>
      <w:r>
        <w:t xml:space="preserve"> </w:t>
      </w:r>
      <w:r>
        <w:t xml:space="preserve">and properties are never removed but may be</w:t>
      </w:r>
      <w:r>
        <w:t xml:space="preserve"> </w:t>
      </w:r>
      <w:r>
        <w:rPr>
          <w:iCs/>
          <w:i/>
        </w:rPr>
        <w:t xml:space="preserve">deprecated</w:t>
      </w:r>
      <w:r>
        <w:t xml:space="preserve">. The deprecation</w:t>
      </w:r>
      <w:r>
        <w:t xml:space="preserve"> </w:t>
      </w:r>
      <w:r>
        <w:t xml:space="preserve">that affects monitoring most is the power and thermal model introduced in</w:t>
      </w:r>
      <w:r>
        <w:t xml:space="preserve"> </w:t>
      </w:r>
      <w:r>
        <w:t xml:space="preserve">release 2020.4:</w:t>
      </w:r>
      <w:r>
        <w:t xml:space="preserve"> </w:t>
      </w:r>
      <w:r>
        <w:rPr>
          <w:rStyle w:val="VerbatimChar"/>
        </w:rPr>
        <w:t xml:space="preserve">Chassis.Power</w:t>
      </w:r>
      <w:r>
        <w:t xml:space="preserve"> </w:t>
      </w:r>
      <w:r>
        <w:t xml:space="preserve">and</w:t>
      </w:r>
      <w:r>
        <w:t xml:space="preserve"> </w:t>
      </w:r>
      <w:r>
        <w:rPr>
          <w:rStyle w:val="VerbatimChar"/>
        </w:rPr>
        <w:t xml:space="preserve">Chassis.Thermal</w:t>
      </w:r>
      <w:r>
        <w:t xml:space="preserve">, whose power</w:t>
      </w:r>
      <w:r>
        <w:t xml:space="preserve"> </w:t>
      </w:r>
      <w:r>
        <w:t xml:space="preserve">supplies, fans and temperatures are embedded arrays, were deprecated in</w:t>
      </w:r>
      <w:r>
        <w:t xml:space="preserve"> </w:t>
      </w:r>
      <w:r>
        <w:rPr>
          <w:rStyle w:val="VerbatimChar"/>
        </w:rPr>
        <w:t xml:space="preserve">Chassis</w:t>
      </w:r>
      <w:r>
        <w:t xml:space="preserve"> </w:t>
      </w:r>
      <w:r>
        <w:t xml:space="preserve">v1.15.0 in favour of</w:t>
      </w:r>
      <w:r>
        <w:t xml:space="preserve"> </w:t>
      </w:r>
      <w:r>
        <w:rPr>
          <w:rStyle w:val="VerbatimChar"/>
        </w:rPr>
        <w:t xml:space="preserve">PowerSubsystem</w:t>
      </w:r>
      <w:r>
        <w:t xml:space="preserve"> </w:t>
      </w:r>
      <w:r>
        <w:t xml:space="preserve">and</w:t>
      </w:r>
      <w:r>
        <w:t xml:space="preserve"> </w:t>
      </w:r>
      <w:r>
        <w:rPr>
          <w:rStyle w:val="VerbatimChar"/>
        </w:rPr>
        <w:t xml:space="preserve">ThermalSubsystem</w:t>
      </w:r>
      <w:r>
        <w:t xml:space="preserve">,</w:t>
      </w:r>
      <w:r>
        <w:t xml:space="preserve"> </w:t>
      </w:r>
      <w:r>
        <w:t xml:space="preserve">whose</w:t>
      </w:r>
      <w:r>
        <w:t xml:space="preserve"> </w:t>
      </w:r>
      <w:r>
        <w:rPr>
          <w:rStyle w:val="VerbatimChar"/>
        </w:rPr>
        <w:t xml:space="preserve">PowerSupply</w:t>
      </w:r>
      <w:r>
        <w:t xml:space="preserve"> </w:t>
      </w:r>
      <w:r>
        <w:t xml:space="preserve">and</w:t>
      </w:r>
      <w:r>
        <w:t xml:space="preserve"> </w:t>
      </w:r>
      <w:r>
        <w:rPr>
          <w:rStyle w:val="VerbatimChar"/>
        </w:rPr>
        <w:t xml:space="preserve">Fan</w:t>
      </w:r>
      <w:r>
        <w:t xml:space="preserve"> </w:t>
      </w:r>
      <w:r>
        <w:t xml:space="preserve">members are separate resources. Because</w:t>
      </w:r>
      <w:r>
        <w:t xml:space="preserve"> </w:t>
      </w:r>
      <w:r>
        <w:t xml:space="preserve">deprecated properties remain valid, services in the field implement the old</w:t>
      </w:r>
      <w:r>
        <w:t xml:space="preserve"> </w:t>
      </w:r>
      <w:r>
        <w:t xml:space="preserve">model, the new model or both.</w:t>
      </w:r>
    </w:p>
    <w:p>
      <w:pPr>
        <w:pStyle w:val="BodyText"/>
      </w:pPr>
      <w:r>
        <w:t xml:space="preserve">Vendors extend the model in two ways: OEM properties inside</w:t>
      </w:r>
      <w:r>
        <w:t xml:space="preserve"> </w:t>
      </w:r>
      <w:r>
        <w:rPr>
          <w:rStyle w:val="VerbatimChar"/>
        </w:rPr>
        <w:t xml:space="preserve">Oem</w:t>
      </w:r>
      <w:r>
        <w:t xml:space="preserve"> </w:t>
      </w:r>
      <w:r>
        <w:t xml:space="preserve">objects,</w:t>
      </w:r>
      <w:r>
        <w:t xml:space="preserve"> </w:t>
      </w:r>
      <w:r>
        <w:t xml:space="preserve">with OEM schemas (e.g. </w:t>
      </w:r>
      <w:r>
        <w:rPr>
          <w:rStyle w:val="VerbatimChar"/>
        </w:rPr>
        <w:t xml:space="preserve">HpeiLO</w:t>
      </w:r>
      <w:r>
        <w:t xml:space="preserve">), and</w:t>
      </w:r>
      <w:r>
        <w:t xml:space="preserve"> </w:t>
      </w:r>
      <w:r>
        <w:rPr>
          <w:iCs/>
          <w:i/>
        </w:rPr>
        <w:t xml:space="preserve">placement</w:t>
      </w:r>
      <w:r>
        <w:t xml:space="preserve"> </w:t>
      </w:r>
      <w:r>
        <w:t xml:space="preserve">choices that the</w:t>
      </w:r>
      <w:r>
        <w:t xml:space="preserve"> </w:t>
      </w:r>
      <w:r>
        <w:t xml:space="preserve">standard leaves open, such as whether drives are linked from</w:t>
      </w:r>
      <w:r>
        <w:t xml:space="preserve"> </w:t>
      </w:r>
      <w:r>
        <w:rPr>
          <w:rStyle w:val="VerbatimChar"/>
        </w:rPr>
        <w:t xml:space="preserve">Storage</w:t>
      </w:r>
      <w:r>
        <w:t xml:space="preserve">, from</w:t>
      </w:r>
      <w:r>
        <w:t xml:space="preserve"> </w:t>
      </w:r>
      <w:r>
        <w:rPr>
          <w:rStyle w:val="VerbatimChar"/>
        </w:rPr>
        <w:t xml:space="preserve">Chassis</w:t>
      </w:r>
      <w:r>
        <w:t xml:space="preserve">, or both. The DMTF publishes</w:t>
      </w:r>
      <w:r>
        <w:t xml:space="preserve"> </w:t>
      </w:r>
      <w:r>
        <w:rPr>
          <w:iCs/>
          <w:i/>
        </w:rPr>
        <w:t xml:space="preserve">mockups</w:t>
      </w:r>
      <w:r>
        <w:t xml:space="preserve">, static file-system</w:t>
      </w:r>
      <w:r>
        <w:t xml:space="preserve"> </w:t>
      </w:r>
      <w:r>
        <w:t xml:space="preserve">snapshots of complete services, as reference material, together with tools to</w:t>
      </w:r>
      <w:r>
        <w:t xml:space="preserve"> </w:t>
      </w:r>
      <w:r>
        <w:t xml:space="preserve">serve and record them </w:t>
      </w:r>
      <w:hyperlink w:anchor="ref-dmtf_mockup_server">
        <w:r>
          <w:rPr>
            <w:rStyle w:val="Hyperlink"/>
          </w:rPr>
          <w:t xml:space="preserve">[25]</w:t>
        </w:r>
      </w:hyperlink>
      <w:r>
        <w:t xml:space="preserve">,</w:t>
      </w:r>
      <w:r>
        <w:t xml:space="preserve"> </w:t>
      </w:r>
      <w:hyperlink w:anchor="ref-dmtf_mockup_creator">
        <w:r>
          <w:rPr>
            <w:rStyle w:val="Hyperlink"/>
          </w:rPr>
          <w:t xml:space="preserve">[26]</w:t>
        </w:r>
      </w:hyperlink>
      <w:r>
        <w:t xml:space="preserve">.</w:t>
      </w:r>
      <w:r>
        <w:t xml:space="preserve"> </w:t>
      </w:r>
      <w:r>
        <w:t xml:space="preserve">Interoperability profiles (DSP0272) allow a consumer to state which resources</w:t>
      </w:r>
      <w:r>
        <w:t xml:space="preserve"> </w:t>
      </w:r>
      <w:r>
        <w:t xml:space="preserve">and properties it requires </w:t>
      </w:r>
      <w:hyperlink w:anchor="ref-dmtf_dsp0272">
        <w:r>
          <w:rPr>
            <w:rStyle w:val="Hyperlink"/>
          </w:rPr>
          <w:t xml:space="preserve">[27]</w:t>
        </w:r>
      </w:hyperlink>
      <w:r>
        <w:t xml:space="preserve">, and the Redfish Service</w:t>
      </w:r>
      <w:r>
        <w:t xml:space="preserve"> </w:t>
      </w:r>
      <w:r>
        <w:t xml:space="preserve">Validator checks conformance of a live service against the schema </w:t>
      </w:r>
      <w:hyperlink w:anchor="ref-dmtf_service_validator">
        <w:r>
          <w:rPr>
            <w:rStyle w:val="Hyperlink"/>
          </w:rPr>
          <w:t xml:space="preserve">[28]</w:t>
        </w:r>
      </w:hyperlink>
      <w:r>
        <w:t xml:space="preserve">.</w:t>
      </w:r>
    </w:p>
    <w:bookmarkEnd w:id="31"/>
    <w:bookmarkEnd w:id="32"/>
    <w:bookmarkStart w:id="33" w:name="breadth-first-search"/>
    <w:p>
      <w:pPr>
        <w:pStyle w:val="Heading2"/>
      </w:pPr>
      <w:r>
        <w:t xml:space="preserve">2.3 Breadth-First Search</w:t>
      </w:r>
    </w:p>
    <w:p>
      <w:pPr>
        <w:pStyle w:val="FirstParagraph"/>
      </w:pPr>
      <w:r>
        <w:t xml:space="preserve">Given a directed graph</w:t>
      </w:r>
      <w:r>
        <w:t xml:space="preserve"> </w:t>
      </w:r>
      <m:oMath>
        <m:r>
          <m:t>G</m:t>
        </m:r>
        <m:r>
          <m:rPr>
            <m:sty m:val="p"/>
          </m:rPr>
          <m:t>=</m:t>
        </m:r>
        <m:d>
          <m:dPr>
            <m:begChr m:val="("/>
            <m:sepChr m:val=""/>
            <m:endChr m:val=")"/>
            <m:grow/>
          </m:dPr>
          <m:e>
            <m:r>
              <m:t>V</m:t>
            </m:r>
            <m:r>
              <m:rPr>
                <m:sty m:val="p"/>
              </m:rPr>
              <m:t>,</m:t>
            </m:r>
            <m:r>
              <m:t>E</m:t>
            </m:r>
          </m:e>
        </m:d>
      </m:oMath>
      <w:r>
        <w:t xml:space="preserve"> </w:t>
      </w:r>
      <w:r>
        <w:t xml:space="preserve">and a source</w:t>
      </w:r>
      <w:r>
        <w:t xml:space="preserve"> </w:t>
      </w:r>
      <m:oMath>
        <m:r>
          <m:t>r</m:t>
        </m:r>
      </m:oMath>
      <w:r>
        <w:t xml:space="preserve">, breadth-first search visits</w:t>
      </w:r>
      <w:r>
        <w:t xml:space="preserve"> </w:t>
      </w:r>
      <w:r>
        <w:t xml:space="preserve">the vertices in non-decreasing order of their distance</w:t>
      </w:r>
      <w:r>
        <w:t xml:space="preserve"> </w:t>
      </w:r>
      <m:oMath>
        <m:r>
          <m:t>d</m:t>
        </m:r>
        <m:d>
          <m:dPr>
            <m:begChr m:val="("/>
            <m:sepChr m:val=""/>
            <m:endChr m:val=")"/>
            <m:grow/>
          </m:dPr>
          <m:e>
            <m:r>
              <m:t>v</m:t>
            </m:r>
          </m:e>
        </m:d>
      </m:oMath>
      <w:r>
        <w:t xml:space="preserve"> </w:t>
      </w:r>
      <w:r>
        <w:t xml:space="preserve">from</w:t>
      </w:r>
      <w:r>
        <w:t xml:space="preserve"> </w:t>
      </w:r>
      <m:oMath>
        <m:r>
          <m:t>r</m:t>
        </m:r>
      </m:oMath>
      <w:r>
        <w:t xml:space="preserve">. It keeps</w:t>
      </w:r>
      <w:r>
        <w:t xml:space="preserve"> </w:t>
      </w:r>
      <w:r>
        <w:t xml:space="preserve">a first-in-first-out queue</w:t>
      </w:r>
      <w:r>
        <w:t xml:space="preserve"> </w:t>
      </w:r>
      <m:oMath>
        <m:r>
          <m:t>Q</m:t>
        </m:r>
      </m:oMath>
      <w:r>
        <w:t xml:space="preserve"> </w:t>
      </w:r>
      <w:r>
        <w:t xml:space="preserve">and a set of discovered vertices; each dequeued</w:t>
      </w:r>
      <w:r>
        <w:t xml:space="preserve"> </w:t>
      </w:r>
      <w:r>
        <w:t xml:space="preserve">vertex</w:t>
      </w:r>
      <w:r>
        <w:t xml:space="preserve"> </w:t>
      </w:r>
      <m:oMath>
        <m:r>
          <m:t>u</m:t>
        </m:r>
      </m:oMath>
      <w:r>
        <w:t xml:space="preserve"> </w:t>
      </w:r>
      <w:r>
        <w:t xml:space="preserve">enqueues all undiscovered successors</w:t>
      </w:r>
      <w:r>
        <w:t xml:space="preserve"> </w:t>
      </w:r>
      <m:oMath>
        <m:r>
          <m:t>w</m:t>
        </m:r>
      </m:oMath>
      <w:r>
        <w:t xml:space="preserve"> </w:t>
      </w:r>
      <w:r>
        <w:t xml:space="preserve">and records</w:t>
      </w:r>
      <w:r>
        <w:t xml:space="preserve"> </w:t>
      </w:r>
      <m:oMath>
        <m:r>
          <m:t>u</m:t>
        </m:r>
      </m:oMath>
      <w:r>
        <w:t xml:space="preserve"> </w:t>
      </w:r>
      <w:r>
        <w:t xml:space="preserve">as their</w:t>
      </w:r>
      <w:r>
        <w:t xml:space="preserve"> </w:t>
      </w:r>
      <w:r>
        <w:t xml:space="preserve">parent. The parent pointers form the</w:t>
      </w:r>
      <w:r>
        <w:t xml:space="preserve"> </w:t>
      </w:r>
      <w:r>
        <w:rPr>
          <w:iCs/>
          <w:i/>
        </w:rPr>
        <w:t xml:space="preserve">BFS tree</w:t>
      </w:r>
      <w:r>
        <w:t xml:space="preserve">, a shortest-path tree of</w:t>
      </w:r>
      <w:r>
        <w:t xml:space="preserve"> </w:t>
      </w:r>
      <m:oMath>
        <m:r>
          <m:t>G</m:t>
        </m:r>
      </m:oMath>
      <w:r>
        <w:t xml:space="preserve"> </w:t>
      </w:r>
      <w:r>
        <w:t xml:space="preserve">from</w:t>
      </w:r>
      <w:r>
        <w:t xml:space="preserve"> </w:t>
      </w:r>
      <m:oMath>
        <m:r>
          <m:t>r</m:t>
        </m:r>
      </m:oMath>
      <w:r>
        <w:t xml:space="preserve">. BFS runs in</w:t>
      </w:r>
      <w:r>
        <w:t xml:space="preserve"> </w:t>
      </w:r>
      <m:oMath>
        <m:r>
          <m:t>O</m:t>
        </m:r>
        <m:d>
          <m:dPr>
            <m:begChr m:val="("/>
            <m:sepChr m:val=""/>
            <m:endChr m:val=")"/>
            <m:grow/>
          </m:dPr>
          <m:e>
            <m:d>
              <m:dPr>
                <m:begChr m:val="|"/>
                <m:sepChr m:val=""/>
                <m:endChr m:val="|"/>
                <m:grow/>
              </m:dPr>
              <m:e>
                <m:r>
                  <m:t>V</m:t>
                </m:r>
              </m:e>
            </m:d>
            <m:r>
              <m:rPr>
                <m:sty m:val="p"/>
              </m:rPr>
              <m:t>+</m:t>
            </m:r>
            <m:d>
              <m:dPr>
                <m:begChr m:val="|"/>
                <m:sepChr m:val=""/>
                <m:endChr m:val="|"/>
                <m:grow/>
              </m:dPr>
              <m:e>
                <m:r>
                  <m:t>E</m:t>
                </m:r>
              </m:e>
            </m:d>
          </m:e>
        </m:d>
      </m:oMath>
      <w:r>
        <w:t xml:space="preserve"> </w:t>
      </w:r>
      <w:r>
        <w:t xml:space="preserve">time </w:t>
      </w:r>
      <w:hyperlink w:anchor="ref-cormen2009introduction">
        <w:r>
          <w:rPr>
            <w:rStyle w:val="Hyperlink"/>
          </w:rPr>
          <w:t xml:space="preserve">[29]</w:t>
        </w:r>
      </w:hyperlink>
      <w:r>
        <w:t xml:space="preserve">. It</w:t>
      </w:r>
      <w:r>
        <w:t xml:space="preserve"> </w:t>
      </w:r>
      <w:r>
        <w:t xml:space="preserve">was introduced by Moore for finding shortest paths through a maze </w:t>
      </w:r>
      <w:hyperlink w:anchor="ref-moore1959shortest">
        <w:r>
          <w:rPr>
            <w:rStyle w:val="Hyperlink"/>
          </w:rPr>
          <w:t xml:space="preserve">[30]</w:t>
        </w:r>
      </w:hyperlink>
      <w:r>
        <w:t xml:space="preserve"> </w:t>
      </w:r>
      <w:r>
        <w:t xml:space="preserve">and is the standard traversal order of web crawlers, where it tends to discover</w:t>
      </w:r>
      <w:r>
        <w:t xml:space="preserve"> </w:t>
      </w:r>
      <w:r>
        <w:t xml:space="preserve">important pages early </w:t>
      </w:r>
      <w:hyperlink w:anchor="ref-najork2001breadth">
        <w:r>
          <w:rPr>
            <w:rStyle w:val="Hyperlink"/>
          </w:rPr>
          <w:t xml:space="preserve">[31]</w:t>
        </w:r>
      </w:hyperlink>
      <w:r>
        <w:t xml:space="preserve">.</w:t>
      </w:r>
    </w:p>
    <w:p>
      <w:pPr>
        <w:pStyle w:val="BodyText"/>
      </w:pPr>
      <w:r>
        <w:t xml:space="preserve">Two properties of BFS are central to this thesis. First, the frontier at</w:t>
      </w:r>
      <w:r>
        <w:t xml:space="preserve"> </w:t>
      </w:r>
      <w:r>
        <w:t xml:space="preserve">distance</w:t>
      </w:r>
      <w:r>
        <w:t xml:space="preserve"> </w:t>
      </w:r>
      <m:oMath>
        <m:r>
          <m:t>d</m:t>
        </m:r>
      </m:oMath>
      <w:r>
        <w:t xml:space="preserve">, the set</w:t>
      </w:r>
      <w:r>
        <w:t xml:space="preserve"> </w:t>
      </w:r>
      <m:oMath>
        <m:sSub>
          <m:e>
            <m:r>
              <m:t>L</m:t>
            </m:r>
          </m:e>
          <m:sub>
            <m:r>
              <m:t>d</m:t>
            </m:r>
          </m:sub>
        </m:sSub>
        <m:r>
          <m:rPr>
            <m:sty m:val="p"/>
          </m:rPr>
          <m:t>=</m:t>
        </m:r>
        <m:r>
          <m:rPr>
            <m:sty m:val="p"/>
          </m:rPr>
          <m:t>{</m:t>
        </m:r>
        <m:r>
          <m:t>v</m:t>
        </m:r>
        <m:r>
          <m:rPr>
            <m:sty m:val="p"/>
          </m:rPr>
          <m:t>:</m:t>
        </m:r>
        <m:r>
          <m:t>d</m:t>
        </m:r>
        <m:d>
          <m:dPr>
            <m:begChr m:val="("/>
            <m:sepChr m:val=""/>
            <m:endChr m:val=")"/>
            <m:grow/>
          </m:dPr>
          <m:e>
            <m:r>
              <m:t>v</m:t>
            </m:r>
          </m:e>
        </m:d>
        <m:r>
          <m:rPr>
            <m:sty m:val="p"/>
          </m:rPr>
          <m:t>=</m:t>
        </m:r>
        <m:r>
          <m:t>d</m:t>
        </m:r>
        <m:r>
          <m:rPr>
            <m:sty m:val="p"/>
          </m:rPr>
          <m:t>}</m:t>
        </m:r>
      </m:oMath>
      <w:r>
        <w:t xml:space="preserve">, is complete before any vertex of</w:t>
      </w:r>
      <w:r>
        <w:t xml:space="preserve"> </w:t>
      </w:r>
      <m:oMath>
        <m:sSub>
          <m:e>
            <m:r>
              <m:t>L</m:t>
            </m:r>
          </m:e>
          <m:sub>
            <m:r>
              <m:t>d</m:t>
            </m:r>
            <m:r>
              <m:rPr>
                <m:sty m:val="p"/>
              </m:rPr>
              <m:t>+</m:t>
            </m:r>
            <m:r>
              <m:t>1</m:t>
            </m:r>
          </m:sub>
        </m:sSub>
      </m:oMath>
      <w:r>
        <w:t xml:space="preserve"> </w:t>
      </w:r>
      <w:r>
        <w:t xml:space="preserve">is expanded. All requests of one level are therefore independent and</w:t>
      </w:r>
      <w:r>
        <w:t xml:space="preserve"> </w:t>
      </w:r>
      <w:r>
        <w:t xml:space="preserve">can be issued concurrently (</w:t>
      </w:r>
      <w:r>
        <w:rPr>
          <w:iCs/>
          <w:i/>
        </w:rPr>
        <w:t xml:space="preserve">level-synchronous</w:t>
      </w:r>
      <w:r>
        <w:t xml:space="preserve"> </w:t>
      </w:r>
      <w:r>
        <w:t xml:space="preserve">BFS). Second, BFS</w:t>
      </w:r>
      <w:r>
        <w:t xml:space="preserve"> </w:t>
      </w:r>
      <w:r>
        <w:t xml:space="preserve">reaches each vertex along a shortest path, which for Redfish is the canonical,</w:t>
      </w:r>
      <w:r>
        <w:t xml:space="preserve"> </w:t>
      </w:r>
      <w:r>
        <w:t xml:space="preserve">least deeply nested location of a resource. Depth-first search (DFS) uses a</w:t>
      </w:r>
      <w:r>
        <w:t xml:space="preserve"> </w:t>
      </w:r>
      <w:r>
        <w:t xml:space="preserve">stack instead of a queue and has the same asymptotic cost, but it reaches deep</w:t>
      </w:r>
      <w:r>
        <w:t xml:space="preserve"> </w:t>
      </w:r>
      <w:r>
        <w:t xml:space="preserve">vertices early and its frontier offers no natural unit of parallelism.</w:t>
      </w:r>
    </w:p>
    <w:bookmarkEnd w:id="33"/>
    <w:bookmarkEnd w:id="34"/>
    <w:bookmarkStart w:id="40" w:name="related-work"/>
    <w:p>
      <w:pPr>
        <w:pStyle w:val="Heading1"/>
      </w:pPr>
      <w:r>
        <w:t xml:space="preserve">3 Related Work</w:t>
      </w:r>
    </w:p>
    <w:p>
      <w:pPr>
        <w:pStyle w:val="FirstParagraph"/>
      </w:pPr>
      <w:r>
        <w:t xml:space="preserve">This thesis sits at the intersection of four lines of work: out-of-band</w:t>
      </w:r>
      <w:r>
        <w:t xml:space="preserve"> </w:t>
      </w:r>
      <w:r>
        <w:t xml:space="preserve">monitoring systems built on Redfish (Section 3.1), client</w:t>
      </w:r>
      <w:r>
        <w:t xml:space="preserve"> </w:t>
      </w:r>
      <w:r>
        <w:t xml:space="preserve">libraries and tools that talk to Redfish services (Section 3.2),</w:t>
      </w:r>
      <w:r>
        <w:t xml:space="preserve"> </w:t>
      </w:r>
      <w:r>
        <w:t xml:space="preserve">hypermedia-driven clients and web crawling (Section 3.3), and the</w:t>
      </w:r>
      <w:r>
        <w:t xml:space="preserve"> </w:t>
      </w:r>
      <w:r>
        <w:t xml:space="preserve">evolution of web APIs and its effect on clients (Section 3.4).</w:t>
      </w:r>
    </w:p>
    <w:bookmarkStart w:id="35" w:name="redfish-based-monitoring"/>
    <w:p>
      <w:pPr>
        <w:pStyle w:val="Heading2"/>
      </w:pPr>
      <w:r>
        <w:t xml:space="preserve">3.1 Redfish-Based Monitoring</w:t>
      </w:r>
    </w:p>
    <w:p>
      <w:pPr>
        <w:pStyle w:val="FirstParagraph"/>
      </w:pPr>
      <w:r>
        <w:rPr>
          <w:bCs/>
          <w:b/>
        </w:rPr>
        <w:t xml:space="preserve">Standards and overviews.</w:t>
      </w:r>
      <w:r>
        <w:t xml:space="preserve"> </w:t>
      </w:r>
      <w:r>
        <w:t xml:space="preserve">The DMTF’s white paper introduced Redfish</w:t>
      </w:r>
      <w:r>
        <w:t xml:space="preserve"> </w:t>
      </w:r>
      <w:r>
        <w:t xml:space="preserve">as a</w:t>
      </w:r>
      <w:r>
        <w:t xml:space="preserve"> </w:t>
      </w:r>
      <w:r>
        <w:t xml:space="preserve">“</w:t>
      </w:r>
      <w:r>
        <w:t xml:space="preserve">RESTful interface</w:t>
      </w:r>
      <w:r>
        <w:t xml:space="preserve">”</w:t>
      </w:r>
      <w:r>
        <w:t xml:space="preserve"> </w:t>
      </w:r>
      <w:r>
        <w:t xml:space="preserve">for</w:t>
      </w:r>
      <w:r>
        <w:t xml:space="preserve"> </w:t>
      </w:r>
      <w:r>
        <w:t xml:space="preserve">“</w:t>
      </w:r>
      <w:r>
        <w:t xml:space="preserve">scalable platform management</w:t>
      </w:r>
      <w:r>
        <w:t xml:space="preserve">”</w:t>
      </w:r>
      <w:r>
        <w:t xml:space="preserve"> </w:t>
      </w:r>
      <w:r>
        <w:t xml:space="preserve">that replaces</w:t>
      </w:r>
      <w:r>
        <w:t xml:space="preserve"> </w:t>
      </w:r>
      <w:r>
        <w:t xml:space="preserve">IPMI </w:t>
      </w:r>
      <w:hyperlink w:anchor="ref-dmtf_dsp2044">
        <w:r>
          <w:rPr>
            <w:rStyle w:val="Hyperlink"/>
          </w:rPr>
          <w:t xml:space="preserve">[12]</w:t>
        </w:r>
      </w:hyperlink>
      <w:r>
        <w:t xml:space="preserve">; the Redfish and OData white paper explains the</w:t>
      </w:r>
      <w:r>
        <w:t xml:space="preserve"> </w:t>
      </w:r>
      <w:r>
        <w:t xml:space="preserve">annotation conventions (</w:t>
      </w:r>
      <w:r>
        <w:rPr>
          <w:rStyle w:val="VerbatimChar"/>
        </w:rPr>
        <w:t xml:space="preserve">@odata.id</w:t>
      </w:r>
      <w:r>
        <w:t xml:space="preserve">,</w:t>
      </w:r>
      <w:r>
        <w:t xml:space="preserve"> </w:t>
      </w:r>
      <w:r>
        <w:rPr>
          <w:rStyle w:val="VerbatimChar"/>
        </w:rPr>
        <w:t xml:space="preserve">@odata.type</w:t>
      </w:r>
      <w:r>
        <w:t xml:space="preserve">) on which our graph</w:t>
      </w:r>
      <w:r>
        <w:t xml:space="preserve"> </w:t>
      </w:r>
      <w:r>
        <w:t xml:space="preserve">model rests </w:t>
      </w:r>
      <w:hyperlink w:anchor="ref-dmtf_dsp2052">
        <w:r>
          <w:rPr>
            <w:rStyle w:val="Hyperlink"/>
          </w:rPr>
          <w:t xml:space="preserve">[21]</w:t>
        </w:r>
      </w:hyperlink>
      <w:r>
        <w:t xml:space="preserve">. Gonçalves et al. survey the standard for the</w:t>
      </w:r>
      <w:r>
        <w:t xml:space="preserve"> </w:t>
      </w:r>
      <w:r>
        <w:t xml:space="preserve">communications community </w:t>
      </w:r>
      <w:hyperlink w:anchor="ref-goncalves2019standard">
        <w:r>
          <w:rPr>
            <w:rStyle w:val="Hyperlink"/>
          </w:rPr>
          <w:t xml:space="preserve">[32]</w:t>
        </w:r>
      </w:hyperlink>
      <w:r>
        <w:t xml:space="preserve">. The specification itself</w:t>
      </w:r>
      <w:r>
        <w:t xml:space="preserve"> </w:t>
      </w:r>
      <w:r>
        <w:t xml:space="preserve">anticipates the problem studied here. It states that</w:t>
      </w:r>
      <w:r>
        <w:t xml:space="preserve"> </w:t>
      </w:r>
      <w:r>
        <w:t xml:space="preserve">“</w:t>
      </w:r>
      <w:r>
        <w:t xml:space="preserve">different hardware or</w:t>
      </w:r>
      <w:r>
        <w:t xml:space="preserve"> </w:t>
      </w:r>
      <w:r>
        <w:t xml:space="preserve">device types result in different resource trees, even for identical systems from</w:t>
      </w:r>
      <w:r>
        <w:t xml:space="preserve"> </w:t>
      </w:r>
      <w:r>
        <w:t xml:space="preserve">the same manufacturer,</w:t>
      </w:r>
      <w:r>
        <w:t xml:space="preserve">”</w:t>
      </w:r>
      <w:r>
        <w:t xml:space="preserve"> </w:t>
      </w:r>
      <w:r>
        <w:t xml:space="preserve">that</w:t>
      </w:r>
      <w:r>
        <w:t xml:space="preserve"> </w:t>
      </w:r>
      <w:r>
        <w:t xml:space="preserve">“</w:t>
      </w:r>
      <w:r>
        <w:t xml:space="preserve">references between resources may result in a</w:t>
      </w:r>
      <w:r>
        <w:t xml:space="preserve"> </w:t>
      </w:r>
      <w:r>
        <w:t xml:space="preserve">graph instead of a tree,</w:t>
      </w:r>
      <w:r>
        <w:t xml:space="preserve">”</w:t>
      </w:r>
      <w:r>
        <w:t xml:space="preserve"> </w:t>
      </w:r>
      <w:r>
        <w:t xml:space="preserve">that clients traversing the tree</w:t>
      </w:r>
      <w:r>
        <w:t xml:space="preserve"> </w:t>
      </w:r>
      <w:r>
        <w:t xml:space="preserve">“</w:t>
      </w:r>
      <w:r>
        <w:t xml:space="preserve">should provide</w:t>
      </w:r>
      <w:r>
        <w:t xml:space="preserve"> </w:t>
      </w:r>
      <w:r>
        <w:t xml:space="preserve">logic to avoid infinite loops,</w:t>
      </w:r>
      <w:r>
        <w:t xml:space="preserve">”</w:t>
      </w:r>
      <w:r>
        <w:t xml:space="preserve"> </w:t>
      </w:r>
      <w:r>
        <w:t xml:space="preserve">and that clients</w:t>
      </w:r>
      <w:r>
        <w:t xml:space="preserve"> </w:t>
      </w:r>
      <w:r>
        <w:t xml:space="preserve">“</w:t>
      </w:r>
      <w:r>
        <w:t xml:space="preserve">should not assume that they</w:t>
      </w:r>
      <w:r>
        <w:t xml:space="preserve"> </w:t>
      </w:r>
      <w:r>
        <w:t xml:space="preserve">can reuse hyperlinks across different Redfish service instances</w:t>
      </w:r>
      <w:r>
        <w:t xml:space="preserve">”</w:t>
      </w:r>
      <w:r>
        <w:t xml:space="preserve"> </w:t>
      </w:r>
      <w:r>
        <w:t xml:space="preserve">(DSP0266 §5.3 </w:t>
      </w:r>
      <w:hyperlink w:anchor="ref-dmtf_dsp0266">
        <w:r>
          <w:rPr>
            <w:rStyle w:val="Hyperlink"/>
          </w:rPr>
          <w:t xml:space="preserve">[2]</w:t>
        </w:r>
      </w:hyperlink>
      <w:r>
        <w:t xml:space="preserve">). It further requires that</w:t>
      </w:r>
      <w:r>
        <w:t xml:space="preserve"> </w:t>
      </w:r>
      <w:r>
        <w:t xml:space="preserve">“</w:t>
      </w:r>
      <w:r>
        <w:t xml:space="preserve">clients shall</w:t>
      </w:r>
      <w:r>
        <w:t xml:space="preserve"> </w:t>
      </w:r>
      <w:r>
        <w:t xml:space="preserve">not make assumptions about the URIs for the members of a resource collection</w:t>
      </w:r>
      <w:r>
        <w:t xml:space="preserve">”</w:t>
      </w:r>
      <w:r>
        <w:t xml:space="preserve"> </w:t>
      </w:r>
      <w:r>
        <w:t xml:space="preserve">(§7.2.2) and describes discovery</w:t>
      </w:r>
      <w:r>
        <w:t xml:space="preserve"> </w:t>
      </w:r>
      <w:r>
        <w:t xml:space="preserve">“</w:t>
      </w:r>
      <w:r>
        <w:t xml:space="preserve">through referenced URIs</w:t>
      </w:r>
      <w:r>
        <w:t xml:space="preserve">”</w:t>
      </w:r>
      <w:r>
        <w:t xml:space="preserve"> </w:t>
      </w:r>
      <w:r>
        <w:t xml:space="preserve">from the single</w:t>
      </w:r>
      <w:r>
        <w:t xml:space="preserve"> </w:t>
      </w:r>
      <w:r>
        <w:t xml:space="preserve">service root as the intended access method (§5.4.4). The specification thus</w:t>
      </w:r>
      <w:r>
        <w:t xml:space="preserve"> </w:t>
      </w:r>
      <w:r>
        <w:t xml:space="preserve">mandates discovery, but it does not say how a client should discover</w:t>
      </w:r>
      <w:r>
        <w:t xml:space="preserve"> </w:t>
      </w:r>
      <w:r>
        <w:rPr>
          <w:iCs/>
          <w:i/>
        </w:rPr>
        <w:t xml:space="preserve">efficiently</w:t>
      </w:r>
      <w:r>
        <w:t xml:space="preserve">. This thesis addresses that gap.</w:t>
      </w:r>
    </w:p>
    <w:p>
      <w:pPr>
        <w:pStyle w:val="BodyText"/>
      </w:pPr>
      <w:r>
        <w:rPr>
          <w:bCs/>
          <w:b/>
        </w:rPr>
        <w:t xml:space="preserve">HPC monitoring.</w:t>
      </w:r>
      <w:r>
        <w:t xml:space="preserve"> </w:t>
      </w:r>
      <w:r>
        <w:t xml:space="preserve">The group of Chen, Sill, Hass and colleagues at</w:t>
      </w:r>
      <w:r>
        <w:t xml:space="preserve"> </w:t>
      </w:r>
      <w:r>
        <w:t xml:space="preserve">Texas Tech University has published most of the academic work on Redfish</w:t>
      </w:r>
      <w:r>
        <w:t xml:space="preserve"> </w:t>
      </w:r>
      <w:r>
        <w:t xml:space="preserve">monitoring. Hojati et al. benchmarked Redfish against IPMI for automated</w:t>
      </w:r>
      <w:r>
        <w:t xml:space="preserve"> </w:t>
      </w:r>
      <w:r>
        <w:t xml:space="preserve">hardware management </w:t>
      </w:r>
      <w:hyperlink w:anchor="ref-hojati2017benchmarking">
        <w:r>
          <w:rPr>
            <w:rStyle w:val="Hyperlink"/>
          </w:rPr>
          <w:t xml:space="preserve">[33]</w:t>
        </w:r>
      </w:hyperlink>
      <w:r>
        <w:t xml:space="preserve"> </w:t>
      </w:r>
      <w:r>
        <w:t xml:space="preserve">and built the Redfish Green500</w:t>
      </w:r>
      <w:r>
        <w:t xml:space="preserve"> </w:t>
      </w:r>
      <w:r>
        <w:t xml:space="preserve">Benchmarker for automated power measurement </w:t>
      </w:r>
      <w:hyperlink w:anchor="ref-hojati2020rgb">
        <w:r>
          <w:rPr>
            <w:rStyle w:val="Hyperlink"/>
          </w:rPr>
          <w:t xml:space="preserve">[34]</w:t>
        </w:r>
      </w:hyperlink>
      <w:r>
        <w:t xml:space="preserve">. MonSTer</w:t>
      </w:r>
      <w:r>
        <w:t xml:space="preserve"> </w:t>
      </w:r>
      <w:r>
        <w:t xml:space="preserve">collects BMC and scheduler metrics for a 467-node cluster; it reads thermal</w:t>
      </w:r>
      <w:r>
        <w:t xml:space="preserve"> </w:t>
      </w:r>
      <w:r>
        <w:t xml:space="preserve">data from the Dell-specific URI</w:t>
      </w:r>
      <w:r>
        <w:t xml:space="preserve"> </w:t>
      </w:r>
      <w:r>
        <w:rPr>
          <w:rStyle w:val="VerbatimChar"/>
        </w:rPr>
        <w:t xml:space="preserve">/redfish/v1/Chassis/System.Embedded.1/Thermal/</w:t>
      </w:r>
      <w:r>
        <w:t xml:space="preserve">,</w:t>
      </w:r>
      <w:r>
        <w:t xml:space="preserve"> </w:t>
      </w:r>
      <w:r>
        <w:t xml:space="preserve">reports an average of 4.29 s per Redfish request and about</w:t>
      </w:r>
      <w:r>
        <w:t xml:space="preserve"> </w:t>
      </w:r>
      <w:r>
        <w:t xml:space="preserve">55 s for an asynchronous sweep of all nodes, and notes that the</w:t>
      </w:r>
      <w:r>
        <w:t xml:space="preserve"> </w:t>
      </w:r>
      <w:r>
        <w:t xml:space="preserve">iDRAC</w:t>
      </w:r>
      <w:r>
        <w:t xml:space="preserve"> </w:t>
      </w:r>
      <w:r>
        <w:t xml:space="preserve">“</w:t>
      </w:r>
      <w:r>
        <w:t xml:space="preserve">has limited resources and cannot handle a large number of</w:t>
      </w:r>
      <w:r>
        <w:t xml:space="preserve"> </w:t>
      </w:r>
      <w:r>
        <w:t xml:space="preserve">requests</w:t>
      </w:r>
      <w:r>
        <w:t xml:space="preserve">”</w:t>
      </w:r>
      <w:r>
        <w:t xml:space="preserve"> </w:t>
      </w:r>
      <w:hyperlink w:anchor="ref-li2020monster">
        <w:r>
          <w:rPr>
            <w:rStyle w:val="Hyperlink"/>
          </w:rPr>
          <w:t xml:space="preserve">[4]</w:t>
        </w:r>
      </w:hyperlink>
      <w:r>
        <w:t xml:space="preserve">,</w:t>
      </w:r>
      <w:r>
        <w:t xml:space="preserve"> </w:t>
      </w:r>
      <w:hyperlink w:anchor="ref-nsfcac_monster">
        <w:r>
          <w:rPr>
            <w:rStyle w:val="Hyperlink"/>
          </w:rPr>
          <w:t xml:space="preserve">[35]</w:t>
        </w:r>
      </w:hyperlink>
      <w:r>
        <w:t xml:space="preserve">. Redfish-Nagios integrates Redfish</w:t>
      </w:r>
      <w:r>
        <w:t xml:space="preserve"> </w:t>
      </w:r>
      <w:r>
        <w:t xml:space="preserve">into the Nagios monitoring system using a fixed table of URIs under</w:t>
      </w:r>
      <w:r>
        <w:t xml:space="preserve"> </w:t>
      </w:r>
      <w:r>
        <w:rPr>
          <w:rStyle w:val="VerbatimChar"/>
        </w:rPr>
        <w:t xml:space="preserve">Systems</w:t>
      </w:r>
      <w:r>
        <w:t xml:space="preserve">,</w:t>
      </w:r>
      <w:r>
        <w:t xml:space="preserve"> </w:t>
      </w:r>
      <w:r>
        <w:rPr>
          <w:rStyle w:val="VerbatimChar"/>
        </w:rPr>
        <w:t xml:space="preserve">Chassis</w:t>
      </w:r>
      <w:r>
        <w:t xml:space="preserve"> </w:t>
      </w:r>
      <w:r>
        <w:t xml:space="preserve">and</w:t>
      </w:r>
      <w:r>
        <w:t xml:space="preserve"> </w:t>
      </w:r>
      <w:r>
        <w:rPr>
          <w:rStyle w:val="VerbatimChar"/>
        </w:rPr>
        <w:t xml:space="preserve">Managers</w:t>
      </w:r>
      <w:r>
        <w:t xml:space="preserve"> </w:t>
      </w:r>
      <w:hyperlink w:anchor="ref-ali2022redfishnagios">
        <w:r>
          <w:rPr>
            <w:rStyle w:val="Hyperlink"/>
          </w:rPr>
          <w:t xml:space="preserve">[5]</w:t>
        </w:r>
      </w:hyperlink>
      <w:r>
        <w:t xml:space="preserve">; its</w:t>
      </w:r>
      <w:r>
        <w:t xml:space="preserve"> </w:t>
      </w:r>
      <w:r>
        <w:t xml:space="preserve">extended version reports node round-trip times between 4.13 and</w:t>
      </w:r>
      <w:r>
        <w:t xml:space="preserve"> </w:t>
      </w:r>
      <w:r>
        <w:t xml:space="preserve">5.82 s </w:t>
      </w:r>
      <w:hyperlink w:anchor="ref-ali2023scalable">
        <w:r>
          <w:rPr>
            <w:rStyle w:val="Hyperlink"/>
          </w:rPr>
          <w:t xml:space="preserve">[36]</w:t>
        </w:r>
      </w:hyperlink>
      <w:r>
        <w:t xml:space="preserve">. Dakić et al. combine the Redfish API</w:t>
      </w:r>
      <w:r>
        <w:t xml:space="preserve"> </w:t>
      </w:r>
      <w:r>
        <w:t xml:space="preserve">of HPE iLO servers with the vSphere API for policy-based monitoring, addressing</w:t>
      </w:r>
      <w:r>
        <w:t xml:space="preserve"> </w:t>
      </w:r>
      <w:r>
        <w:t xml:space="preserve">resources such as</w:t>
      </w:r>
      <w:r>
        <w:t xml:space="preserve"> </w:t>
      </w:r>
      <w:r>
        <w:rPr>
          <w:rStyle w:val="VerbatimChar"/>
        </w:rPr>
        <w:t xml:space="preserve">/redfish/v1/Systems/1</w:t>
      </w:r>
      <w:r>
        <w:t xml:space="preserve"> </w:t>
      </w:r>
      <w:r>
        <w:t xml:space="preserve">directly </w:t>
      </w:r>
      <w:hyperlink w:anchor="ref-dakic2024redfish">
        <w:r>
          <w:rPr>
            <w:rStyle w:val="Hyperlink"/>
          </w:rPr>
          <w:t xml:space="preserve">[6]</w:t>
        </w:r>
      </w:hyperlink>
      <w:r>
        <w:t xml:space="preserve">.</w:t>
      </w:r>
      <w:r>
        <w:t xml:space="preserve"> </w:t>
      </w:r>
      <w:r>
        <w:t xml:space="preserve">Outside Redfish, LDMS provides scalable in-band metric collection for</w:t>
      </w:r>
      <w:r>
        <w:t xml:space="preserve"> </w:t>
      </w:r>
      <w:r>
        <w:t xml:space="preserve">HPC </w:t>
      </w:r>
      <w:hyperlink w:anchor="ref-agelastos2014ldms">
        <w:r>
          <w:rPr>
            <w:rStyle w:val="Hyperlink"/>
          </w:rPr>
          <w:t xml:space="preserve">[37]</w:t>
        </w:r>
      </w:hyperlink>
      <w:r>
        <w:t xml:space="preserve">, and DiG adds a dedicated out-of-band board for</w:t>
      </w:r>
      <w:r>
        <w:t xml:space="preserve"> </w:t>
      </w:r>
      <w:r>
        <w:t xml:space="preserve">high-resolution power monitoring, contrasting it with the roughly one-second</w:t>
      </w:r>
      <w:r>
        <w:t xml:space="preserve"> </w:t>
      </w:r>
      <w:r>
        <w:t xml:space="preserve">resolution achievable over IPMI </w:t>
      </w:r>
      <w:hyperlink w:anchor="ref-libri2018dig">
        <w:r>
          <w:rPr>
            <w:rStyle w:val="Hyperlink"/>
          </w:rPr>
          <w:t xml:space="preserve">[38]</w:t>
        </w:r>
      </w:hyperlink>
      <w:r>
        <w:t xml:space="preserve">.</w:t>
      </w:r>
    </w:p>
    <w:p>
      <w:pPr>
        <w:pStyle w:val="BodyText"/>
      </w:pPr>
      <w:r>
        <w:t xml:space="preserve">Two observations motivate this thesis. First, all of these systems address</w:t>
      </w:r>
      <w:r>
        <w:t xml:space="preserve"> </w:t>
      </w:r>
      <w:r>
        <w:t xml:space="preserve">resources by</w:t>
      </w:r>
      <w:r>
        <w:t xml:space="preserve"> </w:t>
      </w:r>
      <w:r>
        <w:rPr>
          <w:iCs/>
          <w:i/>
        </w:rPr>
        <w:t xml:space="preserve">hard-coded URI templates</w:t>
      </w:r>
      <w:r>
        <w:t xml:space="preserve"> </w:t>
      </w:r>
      <w:r>
        <w:t xml:space="preserve">tuned to the vendor of their</w:t>
      </w:r>
      <w:r>
        <w:t xml:space="preserve"> </w:t>
      </w:r>
      <w:r>
        <w:t xml:space="preserve">cluster. None of them evaluates what happens on a different vendor or firmware</w:t>
      </w:r>
      <w:r>
        <w:t xml:space="preserve"> </w:t>
      </w:r>
      <w:r>
        <w:t xml:space="preserve">generation. Second, their latency measurements show that each request to a BMC</w:t>
      </w:r>
      <w:r>
        <w:t xml:space="preserve"> </w:t>
      </w:r>
      <w:r>
        <w:t xml:space="preserve">is expensive, on the order of seconds under load. A discovery algorithm that</w:t>
      </w:r>
      <w:r>
        <w:t xml:space="preserve"> </w:t>
      </w:r>
      <w:r>
        <w:t xml:space="preserve">crawls a service of 1</w:t>
      </w:r>
      <w:r>
        <w:t xml:space="preserve">,</w:t>
      </w:r>
      <w:r>
        <w:t xml:space="preserve">000 resources sequentially would take more than an hour</w:t>
      </w:r>
      <w:r>
        <w:t xml:space="preserve"> </w:t>
      </w:r>
      <w:r>
        <w:t xml:space="preserve">at that rate, so request count is the right cost measure.</w:t>
      </w:r>
    </w:p>
    <w:p>
      <w:pPr>
        <w:pStyle w:val="BodyText"/>
      </w:pPr>
      <w:r>
        <w:rPr>
          <w:bCs/>
          <w:b/>
        </w:rPr>
        <w:t xml:space="preserve">Security.</w:t>
      </w:r>
      <w:r>
        <w:t xml:space="preserve"> </w:t>
      </w:r>
      <w:r>
        <w:t xml:space="preserve">BMCs are a sensitive attack surface. Bonkoski et al. analysed the IPMI implementation of a major BMC vendor and found vulnerabilities</w:t>
      </w:r>
      <w:r>
        <w:t xml:space="preserve"> </w:t>
      </w:r>
      <w:r>
        <w:t xml:space="preserve">that expose the host </w:t>
      </w:r>
      <w:hyperlink w:anchor="ref-bonkoski2013illuminating">
        <w:r>
          <w:rPr>
            <w:rStyle w:val="Hyperlink"/>
          </w:rPr>
          <w:t xml:space="preserve">[9]</w:t>
        </w:r>
      </w:hyperlink>
      <w:r>
        <w:t xml:space="preserve">; PMFault shows that the</w:t>
      </w:r>
      <w:r>
        <w:t xml:space="preserve"> </w:t>
      </w:r>
      <w:r>
        <w:t xml:space="preserve">BMC’s access to the power management bus can be used to fault or permanently</w:t>
      </w:r>
      <w:r>
        <w:t xml:space="preserve"> </w:t>
      </w:r>
      <w:r>
        <w:t xml:space="preserve">damage server CPUs </w:t>
      </w:r>
      <w:hyperlink w:anchor="ref-chen2023pmfault">
        <w:r>
          <w:rPr>
            <w:rStyle w:val="Hyperlink"/>
          </w:rPr>
          <w:t xml:space="preserve">[39]</w:t>
        </w:r>
      </w:hyperlink>
      <w:r>
        <w:t xml:space="preserve">; and Almeida et al. use Redfish as a</w:t>
      </w:r>
      <w:r>
        <w:t xml:space="preserve"> </w:t>
      </w:r>
      <w:r>
        <w:t xml:space="preserve">case study for securing RESTful asset management APIs under</w:t>
      </w:r>
      <w:r>
        <w:t xml:space="preserve"> </w:t>
      </w:r>
      <w:r>
        <w:t xml:space="preserve">IEC 62443-4-2 </w:t>
      </w:r>
      <w:hyperlink w:anchor="ref-almeida2026iec62443">
        <w:r>
          <w:rPr>
            <w:rStyle w:val="Hyperlink"/>
          </w:rPr>
          <w:t xml:space="preserve">[40]</w:t>
        </w:r>
      </w:hyperlink>
      <w:r>
        <w:t xml:space="preserve">. For our purposes these works imply</w:t>
      </w:r>
      <w:r>
        <w:t xml:space="preserve"> </w:t>
      </w:r>
      <w:r>
        <w:t xml:space="preserve">that monitoring clients should run with read-only accounts and issue as few</w:t>
      </w:r>
      <w:r>
        <w:t xml:space="preserve"> </w:t>
      </w:r>
      <w:r>
        <w:t xml:space="preserve">requests as possible, which again favours pruned discovery.</w:t>
      </w:r>
    </w:p>
    <w:bookmarkEnd w:id="35"/>
    <w:bookmarkStart w:id="36" w:name="redfish-client-libraries-and-tools"/>
    <w:p>
      <w:pPr>
        <w:pStyle w:val="Heading2"/>
      </w:pPr>
      <w:r>
        <w:t xml:space="preserve">3.2 Redfish Client Libraries and Tools</w:t>
      </w:r>
    </w:p>
    <w:p>
      <w:pPr>
        <w:pStyle w:val="FirstParagraph"/>
      </w:pPr>
      <w:r>
        <w:t xml:space="preserve">The DMTF maintains a Python client library that handles sessions, paging and</w:t>
      </w:r>
      <w:r>
        <w:t xml:space="preserve"> </w:t>
      </w:r>
      <w:r>
        <w:t xml:space="preserve">JSON parsing but leaves navigation to the caller </w:t>
      </w:r>
      <w:hyperlink w:anchor="ref-dmtf_python_redfish">
        <w:r>
          <w:rPr>
            <w:rStyle w:val="Hyperlink"/>
          </w:rPr>
          <w:t xml:space="preserve">[41]</w:t>
        </w:r>
      </w:hyperlink>
      <w:r>
        <w:t xml:space="preserve">.</w:t>
      </w:r>
      <w:r>
        <w:t xml:space="preserve"> </w:t>
      </w:r>
      <w:r>
        <w:t xml:space="preserve">Sushy, the Redfish library of OpenStack Ironic, wraps selected resources in</w:t>
      </w:r>
      <w:r>
        <w:t xml:space="preserve"> </w:t>
      </w:r>
      <w:r>
        <w:t xml:space="preserve">Python classes with fixed attribute paths; its documentation warns that BMCs</w:t>
      </w:r>
      <w:r>
        <w:t xml:space="preserve"> </w:t>
      </w:r>
      <w:r>
        <w:t xml:space="preserve">“</w:t>
      </w:r>
      <w:r>
        <w:t xml:space="preserve">are very flaky</w:t>
      </w:r>
      <w:r>
        <w:t xml:space="preserve">”</w:t>
      </w:r>
      <w:r>
        <w:t xml:space="preserve"> </w:t>
      </w:r>
      <w:r>
        <w:t xml:space="preserve">and advises minimising requests </w:t>
      </w:r>
      <w:hyperlink w:anchor="ref-sushy">
        <w:r>
          <w:rPr>
            <w:rStyle w:val="Hyperlink"/>
          </w:rPr>
          <w:t xml:space="preserve">[42]</w:t>
        </w:r>
      </w:hyperlink>
      <w:r>
        <w:t xml:space="preserve">. The Prometheus</w:t>
      </w:r>
      <w:r>
        <w:t xml:space="preserve"> </w:t>
      </w:r>
      <w:r>
        <w:rPr>
          <w:rStyle w:val="VerbatimChar"/>
        </w:rPr>
        <w:t xml:space="preserve">redfish_exporter</w:t>
      </w:r>
      <w:r>
        <w:t xml:space="preserve"> </w:t>
      </w:r>
      <w:r>
        <w:t xml:space="preserve">maps a fixed set of resources to metrics </w:t>
      </w:r>
      <w:hyperlink w:anchor="ref-redfish_exporter">
        <w:r>
          <w:rPr>
            <w:rStyle w:val="Hyperlink"/>
          </w:rPr>
          <w:t xml:space="preserve">[43]</w:t>
        </w:r>
      </w:hyperlink>
      <w:r>
        <w:t xml:space="preserve">.</w:t>
      </w:r>
      <w:r>
        <w:t xml:space="preserve"> </w:t>
      </w:r>
      <w:r>
        <w:t xml:space="preserve">OpenBMC’s</w:t>
      </w:r>
      <w:r>
        <w:t xml:space="preserve"> </w:t>
      </w:r>
      <w:r>
        <w:rPr>
          <w:rStyle w:val="VerbatimChar"/>
        </w:rPr>
        <w:t xml:space="preserve">bmcweb</w:t>
      </w:r>
      <w:r>
        <w:t xml:space="preserve"> </w:t>
      </w:r>
      <w:r>
        <w:t xml:space="preserve">is a server-side implementation </w:t>
      </w:r>
      <w:hyperlink w:anchor="ref-openbmc">
        <w:r>
          <w:rPr>
            <w:rStyle w:val="Hyperlink"/>
          </w:rPr>
          <w:t xml:space="preserve">[8]</w:t>
        </w:r>
      </w:hyperlink>
      <w:r>
        <w:t xml:space="preserve">,</w:t>
      </w:r>
      <w:r>
        <w:t xml:space="preserve"> </w:t>
      </w:r>
      <w:hyperlink w:anchor="ref-openbmc_bmcweb">
        <w:r>
          <w:rPr>
            <w:rStyle w:val="Hyperlink"/>
          </w:rPr>
          <w:t xml:space="preserve">[44]</w:t>
        </w:r>
      </w:hyperlink>
      <w:r>
        <w:t xml:space="preserve">.</w:t>
      </w:r>
    </w:p>
    <w:p>
      <w:pPr>
        <w:pStyle w:val="BodyText"/>
      </w:pPr>
      <w:r>
        <w:t xml:space="preserve">Closest to our approach are two DMTF tools that</w:t>
      </w:r>
      <w:r>
        <w:t xml:space="preserve"> </w:t>
      </w:r>
      <w:r>
        <w:rPr>
          <w:iCs/>
          <w:i/>
        </w:rPr>
        <w:t xml:space="preserve">traverse</w:t>
      </w:r>
      <w:r>
        <w:t xml:space="preserve"> </w:t>
      </w:r>
      <w:r>
        <w:t xml:space="preserve">a service. The</w:t>
      </w:r>
      <w:r>
        <w:t xml:space="preserve"> </w:t>
      </w:r>
      <w:r>
        <w:t xml:space="preserve">Redfish Mockup Creator walks the complete resource graph and stores every</w:t>
      </w:r>
      <w:r>
        <w:t xml:space="preserve"> </w:t>
      </w:r>
      <w:r>
        <w:t xml:space="preserve">resource as a file </w:t>
      </w:r>
      <w:hyperlink w:anchor="ref-dmtf_mockup_creator">
        <w:r>
          <w:rPr>
            <w:rStyle w:val="Hyperlink"/>
          </w:rPr>
          <w:t xml:space="preserve">[26]</w:t>
        </w:r>
      </w:hyperlink>
      <w:r>
        <w:t xml:space="preserve">; the resulting mockups can be</w:t>
      </w:r>
      <w:r>
        <w:t xml:space="preserve"> </w:t>
      </w:r>
      <w:r>
        <w:t xml:space="preserve">replayed by the Mockup Server </w:t>
      </w:r>
      <w:hyperlink w:anchor="ref-dmtf_mockup_server">
        <w:r>
          <w:rPr>
            <w:rStyle w:val="Hyperlink"/>
          </w:rPr>
          <w:t xml:space="preserve">[25]</w:t>
        </w:r>
      </w:hyperlink>
      <w:r>
        <w:t xml:space="preserve"> </w:t>
      </w:r>
      <w:r>
        <w:t xml:space="preserve">and are the data source</w:t>
      </w:r>
      <w:r>
        <w:t xml:space="preserve"> </w:t>
      </w:r>
      <w:r>
        <w:t xml:space="preserve">of our evaluation. The Redfish Service Validator crawls a service and checks</w:t>
      </w:r>
      <w:r>
        <w:t xml:space="preserve"> </w:t>
      </w:r>
      <w:r>
        <w:t xml:space="preserve">every resource against its</w:t>
      </w:r>
      <w:r>
        <w:t xml:space="preserve"> </w:t>
      </w:r>
      <w:r>
        <w:rPr>
          <w:rStyle w:val="VerbatimChar"/>
        </w:rPr>
        <w:t xml:space="preserve">@odata.type</w:t>
      </w:r>
      <w:r>
        <w:t xml:space="preserve"> </w:t>
      </w:r>
      <w:r>
        <w:t xml:space="preserve">schema, including JSON Pointer</w:t>
      </w:r>
      <w:r>
        <w:t xml:space="preserve"> </w:t>
      </w:r>
      <w:r>
        <w:t xml:space="preserve">fragments of embedded objects </w:t>
      </w:r>
      <w:hyperlink w:anchor="ref-dmtf_service_validator">
        <w:r>
          <w:rPr>
            <w:rStyle w:val="Hyperlink"/>
          </w:rPr>
          <w:t xml:space="preserve">[28]</w:t>
        </w:r>
      </w:hyperlink>
      <w:r>
        <w:t xml:space="preserve">,</w:t>
      </w:r>
      <w:r>
        <w:t xml:space="preserve"> </w:t>
      </w:r>
      <w:hyperlink w:anchor="ref-rfc6901">
        <w:r>
          <w:rPr>
            <w:rStyle w:val="Hyperlink"/>
          </w:rPr>
          <w:t xml:space="preserve">[45]</w:t>
        </w:r>
      </w:hyperlink>
      <w:r>
        <w:t xml:space="preserve">. Both tools</w:t>
      </w:r>
      <w:r>
        <w:t xml:space="preserve"> </w:t>
      </w:r>
      <w:r>
        <w:t xml:space="preserve">are exhaustive by design. This thesis instead targets</w:t>
      </w:r>
      <w:r>
        <w:t xml:space="preserve"> </w:t>
      </w:r>
      <w:r>
        <w:rPr>
          <w:iCs/>
          <w:i/>
        </w:rPr>
        <w:t xml:space="preserve">selective</w:t>
      </w:r>
      <w:r>
        <w:t xml:space="preserve"> </w:t>
      </w:r>
      <w:r>
        <w:t xml:space="preserve">traversal for a known set of component types, and it uses the schema not to</w:t>
      </w:r>
      <w:r>
        <w:t xml:space="preserve"> </w:t>
      </w:r>
      <w:r>
        <w:t xml:space="preserve">validate what was fetched but to decide what need not be fetched at all.</w:t>
      </w:r>
    </w:p>
    <w:p>
      <w:pPr>
        <w:pStyle w:val="BodyText"/>
      </w:pPr>
      <w:r>
        <w:t xml:space="preserve">The Redfish Interoperability Profiles (DSP0272) let a client publish which</w:t>
      </w:r>
      <w:r>
        <w:t xml:space="preserve"> </w:t>
      </w:r>
      <w:r>
        <w:t xml:space="preserve">resources and properties it relies on and let a validator check a service</w:t>
      </w:r>
      <w:r>
        <w:t xml:space="preserve"> </w:t>
      </w:r>
      <w:r>
        <w:t xml:space="preserve">against that profile </w:t>
      </w:r>
      <w:hyperlink w:anchor="ref-dmtf_dsp0272">
        <w:r>
          <w:rPr>
            <w:rStyle w:val="Hyperlink"/>
          </w:rPr>
          <w:t xml:space="preserve">[27]</w:t>
        </w:r>
      </w:hyperlink>
      <w:r>
        <w:t xml:space="preserve">. Profiles detect</w:t>
      </w:r>
      <w:r>
        <w:t xml:space="preserve"> </w:t>
      </w:r>
      <w:r>
        <w:rPr>
          <w:iCs/>
          <w:i/>
        </w:rPr>
        <w:t xml:space="preserve">whether</w:t>
      </w:r>
      <w:r>
        <w:t xml:space="preserve"> </w:t>
      </w:r>
      <w:r>
        <w:t xml:space="preserve">a</w:t>
      </w:r>
      <w:r>
        <w:t xml:space="preserve"> </w:t>
      </w:r>
      <w:r>
        <w:t xml:space="preserve">service provides what a client needs; they do not tell the client</w:t>
      </w:r>
      <w:r>
        <w:t xml:space="preserve"> </w:t>
      </w:r>
      <w:r>
        <w:rPr>
          <w:iCs/>
          <w:i/>
        </w:rPr>
        <w:t xml:space="preserve">where</w:t>
      </w:r>
      <w:r>
        <w:t xml:space="preserve"> </w:t>
      </w:r>
      <w:r>
        <w:t xml:space="preserve">to find it. Since protocol version 1.6.0 the schemas also carry</w:t>
      </w:r>
      <w:r>
        <w:t xml:space="preserve"> </w:t>
      </w:r>
      <w:r>
        <w:rPr>
          <w:iCs/>
          <w:i/>
        </w:rPr>
        <w:t xml:space="preserve">URI</w:t>
      </w:r>
      <w:r>
        <w:rPr>
          <w:iCs/>
          <w:i/>
        </w:rPr>
        <w:t xml:space="preserve"> </w:t>
      </w:r>
      <w:r>
        <w:rPr>
          <w:iCs/>
          <w:i/>
        </w:rPr>
        <w:t xml:space="preserve">patterns</w:t>
      </w:r>
      <w:r>
        <w:t xml:space="preserve">, and conforming services implement them (DSP0266 §5.4.5,</w:t>
      </w:r>
      <w:r>
        <w:t xml:space="preserve"> </w:t>
      </w:r>
      <w:r>
        <w:t xml:space="preserve">§9.13.5 </w:t>
      </w:r>
      <w:hyperlink w:anchor="ref-dmtf_dsp0266">
        <w:r>
          <w:rPr>
            <w:rStyle w:val="Hyperlink"/>
          </w:rPr>
          <w:t xml:space="preserve">[2]</w:t>
        </w:r>
      </w:hyperlink>
      <w:r>
        <w:t xml:space="preserve">). URI patterns narrow the search space but do not</w:t>
      </w:r>
      <w:r>
        <w:t xml:space="preserve"> </w:t>
      </w:r>
      <w:r>
        <w:t xml:space="preserve">remove it. The 2026.2 bundle lists 21 permitted URI patterns for</w:t>
      </w:r>
      <w:r>
        <w:t xml:space="preserve"> </w:t>
      </w:r>
      <w:r>
        <w:rPr>
          <w:rStyle w:val="VerbatimChar"/>
        </w:rPr>
        <w:t xml:space="preserve">Processor</w:t>
      </w:r>
      <w:r>
        <w:t xml:space="preserve">, 10 for</w:t>
      </w:r>
      <w:r>
        <w:t xml:space="preserve"> </w:t>
      </w:r>
      <w:r>
        <w:rPr>
          <w:rStyle w:val="VerbatimChar"/>
        </w:rPr>
        <w:t xml:space="preserve">EthernetInterface</w:t>
      </w:r>
      <w:r>
        <w:t xml:space="preserve">, 8 for</w:t>
      </w:r>
      <w:r>
        <w:t xml:space="preserve"> </w:t>
      </w:r>
      <w:r>
        <w:rPr>
          <w:rStyle w:val="VerbatimChar"/>
        </w:rPr>
        <w:t xml:space="preserve">Drive</w:t>
      </w:r>
      <w:r>
        <w:t xml:space="preserve">, 7 for</w:t>
      </w:r>
      <w:r>
        <w:t xml:space="preserve"> </w:t>
      </w:r>
      <w:r>
        <w:rPr>
          <w:rStyle w:val="VerbatimChar"/>
        </w:rPr>
        <w:t xml:space="preserve">Memory</w:t>
      </w:r>
      <w:r>
        <w:t xml:space="preserve"> </w:t>
      </w:r>
      <w:r>
        <w:t xml:space="preserve">and 6 for</w:t>
      </w:r>
      <w:r>
        <w:t xml:space="preserve"> </w:t>
      </w:r>
      <w:r>
        <w:rPr>
          <w:rStyle w:val="VerbatimChar"/>
        </w:rPr>
        <w:t xml:space="preserve">Sensor</w:t>
      </w:r>
      <w:r>
        <w:t xml:space="preserve">. Every pattern contains identifier variables</w:t>
      </w:r>
      <w:r>
        <w:t xml:space="preserve"> </w:t>
      </w:r>
      <w:r>
        <w:t xml:space="preserve">that can only be bound by reading collections, and services older than 1.6.0,</w:t>
      </w:r>
      <w:r>
        <w:t xml:space="preserve"> </w:t>
      </w:r>
      <w:r>
        <w:t xml:space="preserve">such as the Dell iDRAC mockups studied here, predate the patterns entirely.</w:t>
      </w:r>
      <w:r>
        <w:t xml:space="preserve"> </w:t>
      </w:r>
      <w:r>
        <w:t xml:space="preserve">Section 7.7.1 discusses how URI patterns and SP-BFS complement each</w:t>
      </w:r>
      <w:r>
        <w:t xml:space="preserve"> </w:t>
      </w:r>
      <w:r>
        <w:t xml:space="preserve">other.</w:t>
      </w:r>
    </w:p>
    <w:bookmarkEnd w:id="36"/>
    <w:bookmarkStart w:id="37" w:name="hypermedia-clients-and-web-crawling"/>
    <w:p>
      <w:pPr>
        <w:pStyle w:val="Heading2"/>
      </w:pPr>
      <w:r>
        <w:t xml:space="preserve">3.3 Hypermedia Clients and Web Crawling</w:t>
      </w:r>
    </w:p>
    <w:p>
      <w:pPr>
        <w:pStyle w:val="FirstParagraph"/>
      </w:pPr>
      <w:r>
        <w:t xml:space="preserve">Fielding’s REST architectural style requires that clients drive application</w:t>
      </w:r>
      <w:r>
        <w:t xml:space="preserve"> </w:t>
      </w:r>
      <w:r>
        <w:t xml:space="preserve">state through hypermedia links provided by the server (the HATEOAS</w:t>
      </w:r>
      <w:r>
        <w:t xml:space="preserve"> </w:t>
      </w:r>
      <w:r>
        <w:t xml:space="preserve">constraint) </w:t>
      </w:r>
      <w:hyperlink w:anchor="ref-fielding2000rest">
        <w:r>
          <w:rPr>
            <w:rStyle w:val="Hyperlink"/>
          </w:rPr>
          <w:t xml:space="preserve">[7]</w:t>
        </w:r>
      </w:hyperlink>
      <w:r>
        <w:t xml:space="preserve">. URIs are to be discovered, not constructed;</w:t>
      </w:r>
      <w:r>
        <w:t xml:space="preserve"> </w:t>
      </w:r>
      <w:r>
        <w:t xml:space="preserve">the generic URI syntax defines only how a path is written, not what its segments</w:t>
      </w:r>
      <w:r>
        <w:t xml:space="preserve"> </w:t>
      </w:r>
      <w:r>
        <w:t xml:space="preserve">mean </w:t>
      </w:r>
      <w:hyperlink w:anchor="ref-rfc3986">
        <w:r>
          <w:rPr>
            <w:rStyle w:val="Hyperlink"/>
          </w:rPr>
          <w:t xml:space="preserve">[46]</w:t>
        </w:r>
      </w:hyperlink>
      <w:r>
        <w:t xml:space="preserve">. Most</w:t>
      </w:r>
      <w:r>
        <w:t xml:space="preserve"> </w:t>
      </w:r>
      <w:r>
        <w:t xml:space="preserve">practical REST clients ignore this constraint and hard-code endpoint templates</w:t>
      </w:r>
      <w:r>
        <w:t xml:space="preserve"> </w:t>
      </w:r>
      <w:r>
        <w:t xml:space="preserve">from documentation, which is exactly the failure mode we observe in Redfish</w:t>
      </w:r>
      <w:r>
        <w:t xml:space="preserve"> </w:t>
      </w:r>
      <w:r>
        <w:t xml:space="preserve">tools. Redfish is one of the few widely deployed APIs whose specification</w:t>
      </w:r>
      <w:r>
        <w:t xml:space="preserve"> </w:t>
      </w:r>
      <w:r>
        <w:t xml:space="preserve">insists on hypermedia discovery, which makes it a natural setting for a</w:t>
      </w:r>
      <w:r>
        <w:t xml:space="preserve"> </w:t>
      </w:r>
      <w:r>
        <w:t xml:space="preserve">hypermedia-driven client.</w:t>
      </w:r>
    </w:p>
    <w:p>
      <w:pPr>
        <w:pStyle w:val="BodyText"/>
      </w:pPr>
      <w:r>
        <w:t xml:space="preserve">Web crawlers solve a related problem at a larger scale. Najork and Wiener showed</w:t>
      </w:r>
      <w:r>
        <w:t xml:space="preserve"> </w:t>
      </w:r>
      <w:r>
        <w:t xml:space="preserve">that breadth-first crawling discovers high-quality pages early </w:t>
      </w:r>
      <w:hyperlink w:anchor="ref-najork2001breadth">
        <w:r>
          <w:rPr>
            <w:rStyle w:val="Hyperlink"/>
          </w:rPr>
          <w:t xml:space="preserve">[31]</w:t>
        </w:r>
      </w:hyperlink>
      <w:r>
        <w:t xml:space="preserve">;</w:t>
      </w:r>
      <w:r>
        <w:t xml:space="preserve"> </w:t>
      </w:r>
      <w:r>
        <w:t xml:space="preserve">Cho et al. studied how to order the crawl frontier so that important pages are</w:t>
      </w:r>
      <w:r>
        <w:t xml:space="preserve"> </w:t>
      </w:r>
      <w:r>
        <w:t xml:space="preserve">fetched first </w:t>
      </w:r>
      <w:hyperlink w:anchor="ref-cho1998efficient">
        <w:r>
          <w:rPr>
            <w:rStyle w:val="Hyperlink"/>
          </w:rPr>
          <w:t xml:space="preserve">[47]</w:t>
        </w:r>
      </w:hyperlink>
      <w:r>
        <w:t xml:space="preserve">, and how an incremental crawler should</w:t>
      </w:r>
      <w:r>
        <w:t xml:space="preserve"> </w:t>
      </w:r>
      <w:r>
        <w:t xml:space="preserve">revisit pages as the web changes </w:t>
      </w:r>
      <w:hyperlink w:anchor="ref-cho2000evolution">
        <w:r>
          <w:rPr>
            <w:rStyle w:val="Hyperlink"/>
          </w:rPr>
          <w:t xml:space="preserve">[48]</w:t>
        </w:r>
      </w:hyperlink>
      <w:r>
        <w:t xml:space="preserve">. Our setting differs in</w:t>
      </w:r>
      <w:r>
        <w:t xml:space="preserve"> </w:t>
      </w:r>
      <w:r>
        <w:t xml:space="preserve">three respects: the graph is small but each request is very expensive; the</w:t>
      </w:r>
      <w:r>
        <w:t xml:space="preserve"> </w:t>
      </w:r>
      <w:r>
        <w:t xml:space="preserve">client knows exactly which node</w:t>
      </w:r>
      <w:r>
        <w:t xml:space="preserve"> </w:t>
      </w:r>
      <w:r>
        <w:rPr>
          <w:iCs/>
          <w:i/>
        </w:rPr>
        <w:t xml:space="preserve">types</w:t>
      </w:r>
      <w:r>
        <w:t xml:space="preserve"> </w:t>
      </w:r>
      <w:r>
        <w:t xml:space="preserve">it wants; and a machine-readable</w:t>
      </w:r>
      <w:r>
        <w:t xml:space="preserve"> </w:t>
      </w:r>
      <w:r>
        <w:t xml:space="preserve">schema describes which types can occur below which. The schema allows</w:t>
      </w:r>
      <w:r>
        <w:t xml:space="preserve"> </w:t>
      </w:r>
      <w:r>
        <w:rPr>
          <w:iCs/>
          <w:i/>
        </w:rPr>
        <w:t xml:space="preserve">exact</w:t>
      </w:r>
      <w:r>
        <w:t xml:space="preserve"> </w:t>
      </w:r>
      <w:r>
        <w:t xml:space="preserve">pruning with a soundness guarantee rather than the heuristic</w:t>
      </w:r>
      <w:r>
        <w:t xml:space="preserve"> </w:t>
      </w:r>
      <w:r>
        <w:t xml:space="preserve">frontier ordering of general crawlers. The discover-then-poll structure of our</w:t>
      </w:r>
      <w:r>
        <w:t xml:space="preserve"> </w:t>
      </w:r>
      <w:r>
        <w:t xml:space="preserve">monitoring tool mirrors the incremental crawler’s separation of discovery and</w:t>
      </w:r>
      <w:r>
        <w:t xml:space="preserve"> </w:t>
      </w:r>
      <w:r>
        <w:t xml:space="preserve">revisiting.</w:t>
      </w:r>
    </w:p>
    <w:bookmarkEnd w:id="37"/>
    <w:bookmarkStart w:id="38" w:name="web-api-evolution"/>
    <w:p>
      <w:pPr>
        <w:pStyle w:val="Heading2"/>
      </w:pPr>
      <w:r>
        <w:t xml:space="preserve">3.4 Web API Evolution</w:t>
      </w:r>
    </w:p>
    <w:p>
      <w:pPr>
        <w:pStyle w:val="FirstParagraph"/>
      </w:pPr>
      <w:r>
        <w:t xml:space="preserve">Empirical studies of web API evolution show that API changes regularly break</w:t>
      </w:r>
      <w:r>
        <w:t xml:space="preserve"> </w:t>
      </w:r>
      <w:r>
        <w:t xml:space="preserve">clients. Li et al. classified the changes of five popular web APIs and their</w:t>
      </w:r>
      <w:r>
        <w:t xml:space="preserve"> </w:t>
      </w:r>
      <w:r>
        <w:t xml:space="preserve">impact on client code </w:t>
      </w:r>
      <w:hyperlink w:anchor="ref-li2013evolution">
        <w:r>
          <w:rPr>
            <w:rStyle w:val="Hyperlink"/>
          </w:rPr>
          <w:t xml:space="preserve">[49]</w:t>
        </w:r>
      </w:hyperlink>
      <w:r>
        <w:t xml:space="preserve">; Espinha et al. interviewed</w:t>
      </w:r>
      <w:r>
        <w:t xml:space="preserve"> </w:t>
      </w:r>
      <w:r>
        <w:t xml:space="preserve">client developers and analysed client code, finding that even</w:t>
      </w:r>
      <w:r>
        <w:t xml:space="preserve"> </w:t>
      </w:r>
      <w:r>
        <w:t xml:space="preserve">“</w:t>
      </w:r>
      <w:r>
        <w:t xml:space="preserve">loosely</w:t>
      </w:r>
      <w:r>
        <w:t xml:space="preserve"> </w:t>
      </w:r>
      <w:r>
        <w:t xml:space="preserve">coupled</w:t>
      </w:r>
      <w:r>
        <w:t xml:space="preserve">”</w:t>
      </w:r>
      <w:r>
        <w:t xml:space="preserve"> </w:t>
      </w:r>
      <w:r>
        <w:t xml:space="preserve">web APIs create strong coupling through hard-coded</w:t>
      </w:r>
      <w:r>
        <w:t xml:space="preserve"> </w:t>
      </w:r>
      <w:r>
        <w:t xml:space="preserve">endpoints </w:t>
      </w:r>
      <w:hyperlink w:anchor="ref-espinha2014growing">
        <w:r>
          <w:rPr>
            <w:rStyle w:val="Hyperlink"/>
          </w:rPr>
          <w:t xml:space="preserve">[50]</w:t>
        </w:r>
      </w:hyperlink>
      <w:r>
        <w:t xml:space="preserve">,</w:t>
      </w:r>
      <w:r>
        <w:t xml:space="preserve"> </w:t>
      </w:r>
      <w:hyperlink w:anchor="ref-espinha2015growing">
        <w:r>
          <w:rPr>
            <w:rStyle w:val="Hyperlink"/>
          </w:rPr>
          <w:t xml:space="preserve">[51]</w:t>
        </w:r>
      </w:hyperlink>
      <w:r>
        <w:t xml:space="preserve">; Sohan et al. studied</w:t>
      </w:r>
      <w:r>
        <w:t xml:space="preserve"> </w:t>
      </w:r>
      <w:r>
        <w:t xml:space="preserve">which changes providers make between API versions and how they document and</w:t>
      </w:r>
      <w:r>
        <w:t xml:space="preserve"> </w:t>
      </w:r>
      <w:r>
        <w:t xml:space="preserve">communicate them </w:t>
      </w:r>
      <w:hyperlink w:anchor="ref-sohan2015evolution">
        <w:r>
          <w:rPr>
            <w:rStyle w:val="Hyperlink"/>
          </w:rPr>
          <w:t xml:space="preserve">[52]</w:t>
        </w:r>
      </w:hyperlink>
      <w:r>
        <w:t xml:space="preserve">.</w:t>
      </w:r>
      <w:r>
        <w:t xml:space="preserve"> </w:t>
      </w:r>
      <w:r>
        <w:t xml:space="preserve">Redfish is unusual in that its compatibility rules forbid removing properties,</w:t>
      </w:r>
      <w:r>
        <w:t xml:space="preserve"> </w:t>
      </w:r>
      <w:r>
        <w:t xml:space="preserve">but deprecation plus optional features plus vendor freedom in placement still</w:t>
      </w:r>
      <w:r>
        <w:t xml:space="preserve"> </w:t>
      </w:r>
      <w:r>
        <w:t xml:space="preserve">produce the silent breakage that these studies describe. The approach in this</w:t>
      </w:r>
      <w:r>
        <w:t xml:space="preserve"> </w:t>
      </w:r>
      <w:r>
        <w:t xml:space="preserve">thesis can be read as a client-side strategy to decouple from such changes:</w:t>
      </w:r>
      <w:r>
        <w:t xml:space="preserve"> </w:t>
      </w:r>
      <w:r>
        <w:t xml:space="preserve">the client depends only on type names, which are stable across versions, and</w:t>
      </w:r>
      <w:r>
        <w:t xml:space="preserve"> </w:t>
      </w:r>
      <w:r>
        <w:t xml:space="preserve">on the published schema, which is versioned and machine readable.</w:t>
      </w:r>
    </w:p>
    <w:bookmarkEnd w:id="38"/>
    <w:bookmarkStart w:id="39" w:name="summary"/>
    <w:p>
      <w:pPr>
        <w:pStyle w:val="Heading2"/>
      </w:pPr>
      <w:r>
        <w:t xml:space="preserve">3.5 Summary</w:t>
      </w:r>
    </w:p>
    <w:p>
      <w:pPr>
        <w:pStyle w:val="FirstParagraph"/>
      </w:pPr>
      <w:r>
        <w:t xml:space="preserve">Existing Redfish monitoring systems hard-code vendor-specific URIs and report</w:t>
      </w:r>
      <w:r>
        <w:t xml:space="preserve"> </w:t>
      </w:r>
      <w:r>
        <w:t xml:space="preserve">per-request latencies of seconds. Existing Redfish tools either leave navigation</w:t>
      </w:r>
      <w:r>
        <w:t xml:space="preserve"> </w:t>
      </w:r>
      <w:r>
        <w:t xml:space="preserve">to the user or traverse exhaustively. Web crawling offers traversal strategies</w:t>
      </w:r>
      <w:r>
        <w:t xml:space="preserve"> </w:t>
      </w:r>
      <w:r>
        <w:t xml:space="preserve">but no schema-based pruning. To the best of our knowledge, no prior work</w:t>
      </w:r>
      <w:r>
        <w:t xml:space="preserve"> </w:t>
      </w:r>
      <w:r>
        <w:t xml:space="preserve">(i) systematically measures placement heterogeneity across Redfish vendors and</w:t>
      </w:r>
      <w:r>
        <w:t xml:space="preserve"> </w:t>
      </w:r>
      <w:r>
        <w:t xml:space="preserve">versions, or (ii) uses the Redfish schema to prune the discovery of monitored</w:t>
      </w:r>
      <w:r>
        <w:t xml:space="preserve"> </w:t>
      </w:r>
      <w:r>
        <w:t xml:space="preserve">components with a completeness guarantee. These are the gaps the following</w:t>
      </w:r>
      <w:r>
        <w:t xml:space="preserve"> </w:t>
      </w:r>
      <w:r>
        <w:t xml:space="preserve">chapters address.</w:t>
      </w:r>
    </w:p>
    <w:bookmarkEnd w:id="39"/>
    <w:bookmarkEnd w:id="40"/>
    <w:bookmarkStart w:id="46" w:name="problem-analysis-and-formal-model"/>
    <w:p>
      <w:pPr>
        <w:pStyle w:val="Heading1"/>
      </w:pPr>
      <w:r>
        <w:t xml:space="preserve">4 Problem Analysis and Formal Model</w:t>
      </w:r>
    </w:p>
    <w:p>
      <w:pPr>
        <w:pStyle w:val="FirstParagraph"/>
      </w:pPr>
      <w:r>
        <w:t xml:space="preserve">This chapter turns the informal question</w:t>
      </w:r>
      <w:r>
        <w:t xml:space="preserve"> </w:t>
      </w:r>
      <w:r>
        <w:t xml:space="preserve">“</w:t>
      </w:r>
      <w:r>
        <w:t xml:space="preserve">which URI has to be called to get the</w:t>
      </w:r>
      <w:r>
        <w:t xml:space="preserve"> </w:t>
      </w:r>
      <w:r>
        <w:t xml:space="preserve">power supplies?</w:t>
      </w:r>
      <w:r>
        <w:t xml:space="preserve">”</w:t>
      </w:r>
      <w:r>
        <w:t xml:space="preserve"> </w:t>
      </w:r>
      <w:r>
        <w:t xml:space="preserve">into a precise search problem. Section 4.1 models a</w:t>
      </w:r>
      <w:r>
        <w:t xml:space="preserve"> </w:t>
      </w:r>
      <w:r>
        <w:t xml:space="preserve">Redfish service as a typed graph, Section 4.2 shows why its containment</w:t>
      </w:r>
      <w:r>
        <w:t xml:space="preserve"> </w:t>
      </w:r>
      <w:r>
        <w:t xml:space="preserve">edges form an almost-tree, Section 4.3 defines resource queries, and</w:t>
      </w:r>
      <w:r>
        <w:t xml:space="preserve"> </w:t>
      </w:r>
      <w:r>
        <w:t xml:space="preserve">Section 4.4 classifies the kinds of heterogeneity a discovery algorithm</w:t>
      </w:r>
      <w:r>
        <w:t xml:space="preserve"> </w:t>
      </w:r>
      <w:r>
        <w:t xml:space="preserve">has to tolerate.</w:t>
      </w:r>
    </w:p>
    <w:bookmarkStart w:id="41" w:name="the-resource-graph"/>
    <w:p>
      <w:pPr>
        <w:pStyle w:val="Heading2"/>
      </w:pPr>
      <w:r>
        <w:t xml:space="preserve">4.1 The Resource Graph</w:t>
      </w:r>
    </w:p>
    <w:p>
      <w:pPr>
        <w:pStyle w:val="FirstParagraph"/>
      </w:pPr>
      <w:r>
        <w:rPr>
          <w:bCs/>
          <w:b/>
        </w:rPr>
        <w:t xml:space="preserve">Definition 4.1</w:t>
      </w:r>
      <w:r>
        <w:t xml:space="preserve"> </w:t>
      </w:r>
      <w:r>
        <w:t xml:space="preserve">(Resource graph). A Redfish service is a labelled directed multigraph</w:t>
      </w:r>
    </w:p>
    <w:p>
      <w:pPr>
        <w:tabs>
          <w:tab w:val="center" w:pos="4309"/>
          <w:tab w:val="right" w:pos="8618"/>
        </w:tabs>
        <w:spacing w:before="120" w:after="120"/>
      </w:pPr>
      <w:r>
        <w:tab/>
      </w:r>
      <m:oMath>
        <m:r>
          <m:t>G</m:t>
        </m:r>
        <m:r>
          <m:rPr>
            <m:sty m:val="p"/>
          </m:rPr>
          <m:t>=</m:t>
        </m:r>
        <m:d>
          <m:dPr>
            <m:begChr m:val="("/>
            <m:sepChr m:val=""/>
            <m:endChr m:val=")"/>
            <m:grow/>
          </m:dPr>
          <m:e>
            <m:r>
              <m:t>V</m:t>
            </m:r>
            <m:r>
              <m:rPr>
                <m:sty m:val="p"/>
              </m:rPr>
              <m:t>,</m:t>
            </m:r>
            <m:r>
              <m:t>E</m:t>
            </m:r>
            <m:r>
              <m:rPr>
                <m:sty m:val="p"/>
              </m:rPr>
              <m:t>,</m:t>
            </m:r>
            <m:r>
              <m:t>r</m:t>
            </m:r>
            <m:r>
              <m:rPr>
                <m:sty m:val="p"/>
              </m:rPr>
              <m:t>,</m:t>
            </m:r>
            <m:r>
              <m:t>τ</m:t>
            </m:r>
            <m:r>
              <m:rPr>
                <m:sty m:val="p"/>
              </m:rPr>
              <m:t>,</m:t>
            </m:r>
            <m:r>
              <m:t>β</m:t>
            </m:r>
          </m:e>
        </m:d>
        <m:r>
          <m:rPr>
            <m:sty m:val="p"/>
          </m:rPr>
          <m:t>,</m:t>
        </m:r>
        <m:r>
          <m:t>  </m:t>
        </m:r>
        <m:r>
          <m:t>E</m:t>
        </m:r>
        <m:r>
          <m:rPr>
            <m:sty m:val="p"/>
          </m:rPr>
          <m:t>⊆</m:t>
        </m:r>
        <m:r>
          <m:t>V</m:t>
        </m:r>
        <m:r>
          <m:rPr>
            <m:sty m:val="p"/>
          </m:rPr>
          <m:t>×</m:t>
        </m:r>
        <m:r>
          <m:t>Π</m:t>
        </m:r>
        <m:r>
          <m:rPr>
            <m:sty m:val="p"/>
          </m:rPr>
          <m:t>×</m:t>
        </m:r>
        <m:r>
          <m:rPr>
            <m:scr m:val="script"/>
            <m:sty m:val="p"/>
          </m:rPr>
          <m:t>P</m:t>
        </m:r>
        <m:r>
          <m:rPr>
            <m:sty m:val="p"/>
          </m:rPr>
          <m:t>×</m:t>
        </m:r>
        <m:r>
          <m:t>V</m:t>
        </m:r>
      </m:oMath>
      <w:r>
        <w:tab/>
        <w:t>(4.1)</w:t>
      </w:r>
    </w:p>
    <w:p>
      <w:pPr>
        <w:pStyle w:val="FirstParagraph"/>
      </w:pPr>
      <w:r>
        <w:t xml:space="preserve">where</w:t>
      </w:r>
      <w:r>
        <w:t xml:space="preserve"> </w:t>
      </w:r>
      <m:oMath>
        <m:r>
          <m:t>V</m:t>
        </m:r>
      </m:oMath>
      <w:r>
        <w:t xml:space="preserve"> </w:t>
      </w:r>
      <w:r>
        <w:t xml:space="preserve">is the set of resource URIs that answer a</w:t>
      </w:r>
      <w:r>
        <w:t xml:space="preserve"> </w:t>
      </w:r>
      <w:r>
        <w:rPr>
          <w:rStyle w:val="VerbatimChar"/>
        </w:rPr>
        <w:t xml:space="preserve">GET</w:t>
      </w:r>
      <w:r>
        <w:t xml:space="preserve">,</w:t>
      </w:r>
      <w:r>
        <w:t xml:space="preserve"> </w:t>
      </w:r>
      <m:oMath>
        <m:r>
          <m:t>r</m:t>
        </m:r>
        <m:r>
          <m:rPr>
            <m:sty m:val="p"/>
          </m:rPr>
          <m:t>=</m:t>
        </m:r>
        <m:r>
          <m:rPr>
            <m:nor/>
          </m:rPr>
          <m:t>/redfish/v1</m:t>
        </m:r>
      </m:oMath>
      <w:r>
        <w:t xml:space="preserve"> </w:t>
      </w:r>
      <w:r>
        <w:t xml:space="preserve">is the service root,</w:t>
      </w:r>
      <w:r>
        <w:t xml:space="preserve"> </w:t>
      </w:r>
      <m:oMath>
        <m:r>
          <m:t>τ</m:t>
        </m:r>
        <m:r>
          <m:rPr>
            <m:sty m:val="p"/>
          </m:rPr>
          <m:t>:</m:t>
        </m:r>
        <m:r>
          <m:t>V</m:t>
        </m:r>
        <m:r>
          <m:rPr>
            <m:sty m:val="p"/>
          </m:rPr>
          <m:t>→</m:t>
        </m:r>
        <m:r>
          <m:rPr>
            <m:scr m:val="script"/>
            <m:sty m:val="p"/>
          </m:rPr>
          <m:t>T</m:t>
        </m:r>
        <m:r>
          <m:rPr>
            <m:sty m:val="p"/>
          </m:rPr>
          <m:t>∪</m:t>
        </m:r>
        <m:r>
          <m:rPr>
            <m:sty m:val="p"/>
          </m:rPr>
          <m:t>{</m:t>
        </m:r>
        <m:r>
          <m:rPr>
            <m:sty m:val="p"/>
          </m:rPr>
          <m:t>⊥</m:t>
        </m:r>
        <m:r>
          <m:rPr>
            <m:sty m:val="p"/>
          </m:rPr>
          <m:t>}</m:t>
        </m:r>
      </m:oMath>
      <w:r>
        <w:t xml:space="preserve"> </w:t>
      </w:r>
      <w:r>
        <w:t xml:space="preserve">maps a</w:t>
      </w:r>
      <w:r>
        <w:t xml:space="preserve"> </w:t>
      </w:r>
      <w:r>
        <w:t xml:space="preserve">resource to the short name of its</w:t>
      </w:r>
      <w:r>
        <w:t xml:space="preserve"> </w:t>
      </w:r>
      <w:r>
        <w:rPr>
          <w:rStyle w:val="VerbatimChar"/>
        </w:rPr>
        <w:t xml:space="preserve">@odata.type</w:t>
      </w:r>
      <w:r>
        <w:t xml:space="preserve"> </w:t>
      </w:r>
      <w:r>
        <w:t xml:space="preserve">(e.g. </w:t>
      </w:r>
      <w:r>
        <w:rPr>
          <w:rStyle w:val="VerbatimChar"/>
        </w:rPr>
        <w:t xml:space="preserve">PowerSupply</w:t>
      </w:r>
      <w:r>
        <w:t xml:space="preserve">) or</w:t>
      </w:r>
      <w:r>
        <w:t xml:space="preserve"> </w:t>
      </w:r>
      <w:r>
        <w:t xml:space="preserve">to</w:t>
      </w:r>
      <w:r>
        <w:t xml:space="preserve"> </w:t>
      </w:r>
      <m:oMath>
        <m:r>
          <m:rPr>
            <m:sty m:val="p"/>
          </m:rPr>
          <m:t>⊥</m:t>
        </m:r>
      </m:oMath>
      <w:r>
        <w:t xml:space="preserve"> </w:t>
      </w:r>
      <w:r>
        <w:t xml:space="preserve">if the type is missing, and</w:t>
      </w:r>
      <w:r>
        <w:t xml:space="preserve"> </w:t>
      </w:r>
      <m:oMath>
        <m:r>
          <m:t>β</m:t>
        </m:r>
        <m:d>
          <m:dPr>
            <m:begChr m:val="("/>
            <m:sepChr m:val=""/>
            <m:endChr m:val=")"/>
            <m:grow/>
          </m:dPr>
          <m:e>
            <m:r>
              <m:t>v</m:t>
            </m:r>
          </m:e>
        </m:d>
      </m:oMath>
      <w:r>
        <w:t xml:space="preserve"> </w:t>
      </w:r>
      <w:r>
        <w:t xml:space="preserve">is the JSON body of</w:t>
      </w:r>
      <w:r>
        <w:t xml:space="preserve"> </w:t>
      </w:r>
      <m:oMath>
        <m:r>
          <m:t>v</m:t>
        </m:r>
      </m:oMath>
      <w:r>
        <w:t xml:space="preserve">. An edge</w:t>
      </w:r>
      <w:r>
        <w:t xml:space="preserve"> </w:t>
      </w:r>
      <m:oMath>
        <m:d>
          <m:dPr>
            <m:begChr m:val="("/>
            <m:sepChr m:val=""/>
            <m:endChr m:val=")"/>
            <m:grow/>
          </m:dPr>
          <m:e>
            <m:r>
              <m:t>u</m:t>
            </m:r>
            <m:r>
              <m:rPr>
                <m:sty m:val="p"/>
              </m:rPr>
              <m:t>,</m:t>
            </m:r>
            <m:r>
              <m:t>p</m:t>
            </m:r>
            <m:r>
              <m:rPr>
                <m:sty m:val="p"/>
              </m:rPr>
              <m:t>,</m:t>
            </m:r>
            <m:r>
              <m:t>π</m:t>
            </m:r>
            <m:r>
              <m:rPr>
                <m:sty m:val="p"/>
              </m:rPr>
              <m:t>,</m:t>
            </m:r>
            <m:r>
              <m:t>w</m:t>
            </m:r>
          </m:e>
        </m:d>
        <m:r>
          <m:rPr>
            <m:sty m:val="p"/>
          </m:rPr>
          <m:t>∈</m:t>
        </m:r>
        <m:r>
          <m:t>E</m:t>
        </m:r>
      </m:oMath>
      <w:r>
        <w:t xml:space="preserve"> </w:t>
      </w:r>
      <w:r>
        <w:t xml:space="preserve">exists if the body</w:t>
      </w:r>
      <w:r>
        <w:t xml:space="preserve"> </w:t>
      </w:r>
      <m:oMath>
        <m:r>
          <m:t>β</m:t>
        </m:r>
        <m:d>
          <m:dPr>
            <m:begChr m:val="("/>
            <m:sepChr m:val=""/>
            <m:endChr m:val=")"/>
            <m:grow/>
          </m:dPr>
          <m:e>
            <m:r>
              <m:t>u</m:t>
            </m:r>
          </m:e>
        </m:d>
      </m:oMath>
      <w:r>
        <w:t xml:space="preserve"> </w:t>
      </w:r>
      <w:r>
        <w:t xml:space="preserve">contains, at JSON</w:t>
      </w:r>
      <w:r>
        <w:t xml:space="preserve"> </w:t>
      </w:r>
      <w:r>
        <w:t xml:space="preserve">Pointer </w:t>
      </w:r>
      <w:hyperlink w:anchor="ref-rfc6901">
        <w:r>
          <w:rPr>
            <w:rStyle w:val="Hyperlink"/>
          </w:rPr>
          <w:t xml:space="preserve">[45]</w:t>
        </w:r>
      </w:hyperlink>
      <w:r>
        <w:t xml:space="preserve"> </w:t>
      </w:r>
      <m:oMath>
        <m:r>
          <m:t>π</m:t>
        </m:r>
      </m:oMath>
      <w:r>
        <w:t xml:space="preserve"> </w:t>
      </w:r>
      <w:r>
        <w:t xml:space="preserve">below the top-level property</w:t>
      </w:r>
      <w:r>
        <w:t xml:space="preserve"> </w:t>
      </w:r>
      <m:oMath>
        <m:r>
          <m:t>p</m:t>
        </m:r>
        <m:r>
          <m:rPr>
            <m:sty m:val="p"/>
          </m:rPr>
          <m:t>∈</m:t>
        </m:r>
        <m:r>
          <m:t>Π</m:t>
        </m:r>
      </m:oMath>
      <w:r>
        <w:t xml:space="preserve">, an object</w:t>
      </w:r>
      <w:r>
        <w:t xml:space="preserve"> </w:t>
      </w:r>
      <m:oMath>
        <m:r>
          <m:rPr>
            <m:sty m:val="p"/>
          </m:rPr>
          <m:t>{</m:t>
        </m:r>
        <m:r>
          <m:rPr>
            <m:nor/>
          </m:rPr>
          <m:t>"@odata.id"</m:t>
        </m:r>
        <m:r>
          <m:rPr>
            <m:sty m:val="p"/>
          </m:rPr>
          <m:t>:</m:t>
        </m:r>
        <m:r>
          <m:t>w</m:t>
        </m:r>
        <m:r>
          <m:rPr>
            <m:sty m:val="p"/>
          </m:rPr>
          <m:t>}</m:t>
        </m:r>
      </m:oMath>
      <w:r>
        <w:t xml:space="preserve"> </w:t>
      </w:r>
      <w:r>
        <w:t xml:space="preserve">with</w:t>
      </w:r>
      <w:r>
        <w:t xml:space="preserve"> </w:t>
      </w:r>
      <m:oMath>
        <m:r>
          <m:t>w</m:t>
        </m:r>
        <m:r>
          <m:rPr>
            <m:sty m:val="p"/>
          </m:rPr>
          <m:t>≠</m:t>
        </m:r>
        <m:r>
          <m:t>u</m:t>
        </m:r>
      </m:oMath>
      <w:r>
        <w:t xml:space="preserve">.</w:t>
      </w:r>
    </w:p>
    <w:p>
      <w:pPr>
        <w:pStyle w:val="BodyText"/>
      </w:pPr>
      <w:r>
        <w:t xml:space="preserve">Every edge is classified by the property names on its pointer</w:t>
      </w:r>
      <w:r>
        <w:t xml:space="preserve"> </w:t>
      </w:r>
      <m:oMath>
        <m:r>
          <m:t>π</m:t>
        </m:r>
      </m:oMath>
      <w:r>
        <w:t xml:space="preserve">. We</w:t>
      </w:r>
      <w:r>
        <w:t xml:space="preserve"> </w:t>
      </w:r>
      <w:r>
        <w:t xml:space="preserve">partition</w:t>
      </w:r>
    </w:p>
    <w:p>
      <w:pPr>
        <w:tabs>
          <w:tab w:val="center" w:pos="4309"/>
          <w:tab w:val="right" w:pos="8618"/>
        </w:tabs>
        <w:spacing w:before="120" w:after="120"/>
      </w:pPr>
      <w:r>
        <w:tab/>
      </w:r>
      <m:oMath>
        <m:r>
          <m:t>E</m:t>
        </m:r>
        <m:r>
          <m:rPr>
            <m:sty m:val="p"/>
          </m:rPr>
          <m:t>=</m:t>
        </m:r>
        <m:sSub>
          <m:e>
            <m:r>
              <m:t>E</m:t>
            </m:r>
          </m:e>
          <m:sub>
            <m:r>
              <m:t>c</m:t>
            </m:r>
          </m:sub>
        </m:sSub>
        <m:r>
          <m:t> </m:t>
        </m:r>
        <m:acc>
          <m:accPr>
            <m:chr m:val="̇"/>
          </m:accPr>
          <m:e>
            <m:r>
              <m:rPr>
                <m:sty m:val="p"/>
              </m:rPr>
              <m:t>∪</m:t>
            </m:r>
          </m:e>
        </m:acc>
        <m:r>
          <m:t> </m:t>
        </m:r>
        <m:sSub>
          <m:e>
            <m:r>
              <m:t>E</m:t>
            </m:r>
          </m:e>
          <m:sub>
            <m:r>
              <m:t>x</m:t>
            </m:r>
          </m:sub>
        </m:sSub>
        <m:r>
          <m:t> </m:t>
        </m:r>
        <m:acc>
          <m:accPr>
            <m:chr m:val="̇"/>
          </m:accPr>
          <m:e>
            <m:r>
              <m:rPr>
                <m:sty m:val="p"/>
              </m:rPr>
              <m:t>∪</m:t>
            </m:r>
          </m:e>
        </m:acc>
        <m:r>
          <m:t> </m:t>
        </m:r>
        <m:sSub>
          <m:e>
            <m:r>
              <m:t>E</m:t>
            </m:r>
          </m:e>
          <m:sub>
            <m:r>
              <m:t>o</m:t>
            </m:r>
          </m:sub>
        </m:sSub>
        <m:r>
          <m:t> </m:t>
        </m:r>
        <m:acc>
          <m:accPr>
            <m:chr m:val="̇"/>
          </m:accPr>
          <m:e>
            <m:r>
              <m:rPr>
                <m:sty m:val="p"/>
              </m:rPr>
              <m:t>∪</m:t>
            </m:r>
          </m:e>
        </m:acc>
        <m:r>
          <m:t> </m:t>
        </m:r>
        <m:sSub>
          <m:e>
            <m:r>
              <m:t>E</m:t>
            </m:r>
          </m:e>
          <m:sub>
            <m:r>
              <m:t>a</m:t>
            </m:r>
          </m:sub>
        </m:sSub>
      </m:oMath>
      <w:r>
        <w:tab/>
        <w:t>(4.2)</w:t>
      </w:r>
    </w:p>
    <w:p>
      <w:pPr>
        <w:pStyle w:val="FirstParagraph"/>
      </w:pPr>
      <w:r>
        <w:t xml:space="preserve">into</w:t>
      </w:r>
      <w:r>
        <w:t xml:space="preserve"> </w:t>
      </w:r>
      <w:r>
        <w:rPr>
          <w:iCs/>
          <w:i/>
        </w:rPr>
        <w:t xml:space="preserve">containment</w:t>
      </w:r>
      <w:r>
        <w:t xml:space="preserve"> </w:t>
      </w:r>
      <w:r>
        <w:t xml:space="preserve">edges</w:t>
      </w:r>
      <w:r>
        <w:t xml:space="preserve"> </w:t>
      </w:r>
      <m:oMath>
        <m:sSub>
          <m:e>
            <m:r>
              <m:t>E</m:t>
            </m:r>
          </m:e>
          <m:sub>
            <m:r>
              <m:t>c</m:t>
            </m:r>
          </m:sub>
        </m:sSub>
      </m:oMath>
      <w:r>
        <w:t xml:space="preserve">;</w:t>
      </w:r>
      <w:r>
        <w:t xml:space="preserve"> </w:t>
      </w:r>
      <w:r>
        <w:rPr>
          <w:iCs/>
          <w:i/>
        </w:rPr>
        <w:t xml:space="preserve">cross references</w:t>
      </w:r>
      <w:r>
        <w:t xml:space="preserve"> </w:t>
      </w:r>
      <m:oMath>
        <m:sSub>
          <m:e>
            <m:r>
              <m:t>E</m:t>
            </m:r>
          </m:e>
          <m:sub>
            <m:r>
              <m:t>x</m:t>
            </m:r>
          </m:sub>
        </m:sSub>
      </m:oMath>
      <w:r>
        <w:t xml:space="preserve">, where some</w:t>
      </w:r>
      <w:r>
        <w:t xml:space="preserve"> </w:t>
      </w:r>
      <w:r>
        <w:t xml:space="preserve">key on</w:t>
      </w:r>
      <w:r>
        <w:t xml:space="preserve"> </w:t>
      </w:r>
      <m:oMath>
        <m:r>
          <m:t>π</m:t>
        </m:r>
      </m:oMath>
      <w:r>
        <w:t xml:space="preserve"> </w:t>
      </w:r>
      <w:r>
        <w:t xml:space="preserve">is</w:t>
      </w:r>
      <w:r>
        <w:t xml:space="preserve"> </w:t>
      </w:r>
      <w:r>
        <w:rPr>
          <w:rStyle w:val="VerbatimChar"/>
        </w:rPr>
        <w:t xml:space="preserve">Links</w:t>
      </w:r>
      <w:r>
        <w:t xml:space="preserve">,</w:t>
      </w:r>
      <w:r>
        <w:t xml:space="preserve"> </w:t>
      </w:r>
      <w:r>
        <w:rPr>
          <w:rStyle w:val="VerbatimChar"/>
        </w:rPr>
        <w:t xml:space="preserve">RelatedItem</w:t>
      </w:r>
      <w:r>
        <w:t xml:space="preserve">,</w:t>
      </w:r>
      <w:r>
        <w:t xml:space="preserve"> </w:t>
      </w:r>
      <w:r>
        <w:rPr>
          <w:rStyle w:val="VerbatimChar"/>
        </w:rPr>
        <w:t xml:space="preserve">RedundancyGroup</w:t>
      </w:r>
      <w:r>
        <w:t xml:space="preserve"> </w:t>
      </w:r>
      <w:r>
        <w:t xml:space="preserve">or</w:t>
      </w:r>
      <w:r>
        <w:t xml:space="preserve"> </w:t>
      </w:r>
      <w:r>
        <w:rPr>
          <w:rStyle w:val="VerbatimChar"/>
        </w:rPr>
        <w:t xml:space="preserve">OriginOfCondition</w:t>
      </w:r>
      <w:r>
        <w:t xml:space="preserve">;</w:t>
      </w:r>
      <w:r>
        <w:t xml:space="preserve"> </w:t>
      </w:r>
      <w:r>
        <w:rPr>
          <w:iCs/>
          <w:i/>
        </w:rPr>
        <w:t xml:space="preserve">OEM</w:t>
      </w:r>
      <w:r>
        <w:t xml:space="preserve"> </w:t>
      </w:r>
      <w:r>
        <w:t xml:space="preserve">edges</w:t>
      </w:r>
      <w:r>
        <w:t xml:space="preserve"> </w:t>
      </w:r>
      <m:oMath>
        <m:sSub>
          <m:e>
            <m:r>
              <m:t>E</m:t>
            </m:r>
          </m:e>
          <m:sub>
            <m:r>
              <m:t>o</m:t>
            </m:r>
          </m:sub>
        </m:sSub>
      </m:oMath>
      <w:r>
        <w:t xml:space="preserve">, where some key is</w:t>
      </w:r>
      <w:r>
        <w:t xml:space="preserve"> </w:t>
      </w:r>
      <w:r>
        <w:rPr>
          <w:rStyle w:val="VerbatimChar"/>
        </w:rPr>
        <w:t xml:space="preserve">Oem</w:t>
      </w:r>
      <w:r>
        <w:t xml:space="preserve">; and</w:t>
      </w:r>
      <w:r>
        <w:t xml:space="preserve"> </w:t>
      </w:r>
      <w:r>
        <w:rPr>
          <w:iCs/>
          <w:i/>
        </w:rPr>
        <w:t xml:space="preserve">action/settings</w:t>
      </w:r>
      <w:r>
        <w:t xml:space="preserve"> </w:t>
      </w:r>
      <w:r>
        <w:t xml:space="preserve">edges</w:t>
      </w:r>
      <w:r>
        <w:t xml:space="preserve"> </w:t>
      </w:r>
      <m:oMath>
        <m:sSub>
          <m:e>
            <m:r>
              <m:t>E</m:t>
            </m:r>
          </m:e>
          <m:sub>
            <m:r>
              <m:t>a</m:t>
            </m:r>
          </m:sub>
        </m:sSub>
      </m:oMath>
      <w:r>
        <w:t xml:space="preserve">, where some key is</w:t>
      </w:r>
      <w:r>
        <w:t xml:space="preserve"> </w:t>
      </w:r>
      <w:r>
        <w:rPr>
          <w:rStyle w:val="VerbatimChar"/>
        </w:rPr>
        <w:t xml:space="preserve">Actions</w:t>
      </w:r>
      <w:r>
        <w:t xml:space="preserve"> </w:t>
      </w:r>
      <w:r>
        <w:t xml:space="preserve">or</w:t>
      </w:r>
      <w:r>
        <w:t xml:space="preserve"> </w:t>
      </w:r>
      <w:r>
        <w:rPr>
          <w:rStyle w:val="VerbatimChar"/>
        </w:rPr>
        <w:t xml:space="preserve">@Redfish.Settings</w:t>
      </w:r>
      <w:r>
        <w:t xml:space="preserve">. Edges in</w:t>
      </w:r>
      <w:r>
        <w:t xml:space="preserve"> </w:t>
      </w:r>
      <m:oMath>
        <m:sSub>
          <m:e>
            <m:r>
              <m:t>E</m:t>
            </m:r>
          </m:e>
          <m:sub>
            <m:r>
              <m:t>a</m:t>
            </m:r>
          </m:sub>
        </m:sSub>
      </m:oMath>
      <w:r>
        <w:t xml:space="preserve"> </w:t>
      </w:r>
      <w:r>
        <w:t xml:space="preserve">point to POST targets and</w:t>
      </w:r>
      <w:r>
        <w:t xml:space="preserve"> </w:t>
      </w:r>
      <w:r>
        <w:t xml:space="preserve">pending-configuration copies and are never traversed.</w:t>
      </w:r>
    </w:p>
    <w:p>
      <w:pPr>
        <w:pStyle w:val="BodyText"/>
      </w:pPr>
      <w:r>
        <w:rPr>
          <w:bCs/>
          <w:b/>
        </w:rPr>
        <w:t xml:space="preserve">Remark 4.1</w:t>
      </w:r>
      <w:r>
        <w:t xml:space="preserve">. URIs in Redfish are</w:t>
      </w:r>
      <w:r>
        <w:t xml:space="preserve"> </w:t>
      </w:r>
      <w:r>
        <w:rPr>
          <w:iCs/>
          <w:i/>
        </w:rPr>
        <w:t xml:space="preserve">opaque</w:t>
      </w:r>
      <w:r>
        <w:t xml:space="preserve">: a client must not infer the type or the</w:t>
      </w:r>
      <w:r>
        <w:t xml:space="preserve"> </w:t>
      </w:r>
      <w:r>
        <w:t xml:space="preserve">parent of a resource from its path. The model therefore uses URIs only as</w:t>
      </w:r>
      <w:r>
        <w:t xml:space="preserve"> </w:t>
      </w:r>
      <w:r>
        <w:t xml:space="preserve">identifiers, and all structural information comes from the edges.</w:t>
      </w:r>
    </w:p>
    <w:bookmarkEnd w:id="41"/>
    <w:bookmarkStart w:id="42" w:name="the-containment-tree"/>
    <w:p>
      <w:pPr>
        <w:pStyle w:val="Heading2"/>
      </w:pPr>
      <w:r>
        <w:t xml:space="preserve">4.2 The Containment Tree</w:t>
      </w:r>
    </w:p>
    <w:p>
      <w:pPr>
        <w:pStyle w:val="FirstParagraph"/>
      </w:pPr>
      <w:r>
        <w:t xml:space="preserve">The Redfish specification describes resources as organised in a hierarchy</w:t>
      </w:r>
      <w:r>
        <w:t xml:space="preserve"> </w:t>
      </w:r>
      <w:r>
        <w:t xml:space="preserve">below the service root, in which each subordinate resource is referenced by a</w:t>
      </w:r>
      <w:r>
        <w:t xml:space="preserve"> </w:t>
      </w:r>
      <w:r>
        <w:t xml:space="preserve">navigation property of its parent. In graph terms, the subgraph</w:t>
      </w:r>
      <w:r>
        <w:t xml:space="preserve"> </w:t>
      </w:r>
      <m:oMath>
        <m:sSub>
          <m:e>
            <m:r>
              <m:t>G</m:t>
            </m:r>
          </m:e>
          <m:sub>
            <m:r>
              <m:t>c</m:t>
            </m:r>
          </m:sub>
        </m:sSub>
        <m:r>
          <m:rPr>
            <m:sty m:val="p"/>
          </m:rPr>
          <m:t>=</m:t>
        </m:r>
        <m:d>
          <m:dPr>
            <m:begChr m:val="("/>
            <m:sepChr m:val=""/>
            <m:endChr m:val=")"/>
            <m:grow/>
          </m:dPr>
          <m:e>
            <m:sSub>
              <m:e>
                <m:r>
                  <m:t>V</m:t>
                </m:r>
              </m:e>
              <m:sub>
                <m:r>
                  <m:t>c</m:t>
                </m:r>
              </m:sub>
            </m:sSub>
            <m:r>
              <m:rPr>
                <m:sty m:val="p"/>
              </m:rPr>
              <m:t>,</m:t>
            </m:r>
            <m:sSub>
              <m:e>
                <m:r>
                  <m:t>E</m:t>
                </m:r>
              </m:e>
              <m:sub>
                <m:r>
                  <m:t>c</m:t>
                </m:r>
              </m:sub>
            </m:sSub>
          </m:e>
        </m:d>
      </m:oMath>
      <w:r>
        <w:t xml:space="preserve"> </w:t>
      </w:r>
      <w:r>
        <w:t xml:space="preserve">of vertices reachable from</w:t>
      </w:r>
      <w:r>
        <w:t xml:space="preserve"> </w:t>
      </w:r>
      <m:oMath>
        <m:r>
          <m:t>r</m:t>
        </m:r>
      </m:oMath>
      <w:r>
        <w:t xml:space="preserve"> </w:t>
      </w:r>
      <w:r>
        <w:t xml:space="preserve">over containment edges is</w:t>
      </w:r>
      <w:r>
        <w:t xml:space="preserve"> </w:t>
      </w:r>
      <w:r>
        <w:t xml:space="preserve">expected to be a rooted tree. Real services deviate from this ideal in three</w:t>
      </w:r>
      <w:r>
        <w:t xml:space="preserve"> </w:t>
      </w:r>
      <w:r>
        <w:t xml:space="preserve">ways: the same drive is linked from both a</w:t>
      </w:r>
      <w:r>
        <w:t xml:space="preserve"> </w:t>
      </w:r>
      <w:r>
        <w:rPr>
          <w:rStyle w:val="VerbatimChar"/>
        </w:rPr>
        <w:t xml:space="preserve">Storage</w:t>
      </w:r>
      <w:r>
        <w:t xml:space="preserve"> </w:t>
      </w:r>
      <w:r>
        <w:t xml:space="preserve">and a</w:t>
      </w:r>
      <w:r>
        <w:t xml:space="preserve"> </w:t>
      </w:r>
      <w:r>
        <w:rPr>
          <w:rStyle w:val="VerbatimChar"/>
        </w:rPr>
        <w:t xml:space="preserve">Chassis</w:t>
      </w:r>
      <w:r>
        <w:t xml:space="preserve"> </w:t>
      </w:r>
      <w:r>
        <w:t xml:space="preserve">resource; a</w:t>
      </w:r>
      <w:r>
        <w:t xml:space="preserve"> </w:t>
      </w:r>
      <w:r>
        <w:rPr>
          <w:rStyle w:val="VerbatimChar"/>
        </w:rPr>
        <w:t xml:space="preserve">ResourceBlock</w:t>
      </w:r>
      <w:r>
        <w:t xml:space="preserve"> </w:t>
      </w:r>
      <w:r>
        <w:t xml:space="preserve">of the composition service re-exposes processors</w:t>
      </w:r>
      <w:r>
        <w:t xml:space="preserve"> </w:t>
      </w:r>
      <w:r>
        <w:t xml:space="preserve">and memory of a system; and a few vendor resources appear in more than one</w:t>
      </w:r>
      <w:r>
        <w:t xml:space="preserve"> </w:t>
      </w:r>
      <w:r>
        <w:t xml:space="preserve">collection. We therefore call</w:t>
      </w:r>
      <w:r>
        <w:t xml:space="preserve"> </w:t>
      </w:r>
      <m:oMath>
        <m:sSub>
          <m:e>
            <m:r>
              <m:t>G</m:t>
            </m:r>
          </m:e>
          <m:sub>
            <m:r>
              <m:t>c</m:t>
            </m:r>
          </m:sub>
        </m:sSub>
      </m:oMath>
      <w:r>
        <w:t xml:space="preserve"> </w:t>
      </w:r>
      <w:r>
        <w:t xml:space="preserve">an</w:t>
      </w:r>
      <w:r>
        <w:t xml:space="preserve"> </w:t>
      </w:r>
      <w:r>
        <w:rPr>
          <w:iCs/>
          <w:i/>
        </w:rPr>
        <w:t xml:space="preserve">almost-tree</w:t>
      </w:r>
      <w:r>
        <w:t xml:space="preserve"> </w:t>
      </w:r>
      <w:r>
        <w:t xml:space="preserve">and measure how far it</w:t>
      </w:r>
      <w:r>
        <w:t xml:space="preserve"> </w:t>
      </w:r>
      <w:r>
        <w:t xml:space="preserve">is from a tree by the share of vertices with more than one containment parent,</w:t>
      </w:r>
    </w:p>
    <w:p>
      <w:pPr>
        <w:tabs>
          <w:tab w:val="center" w:pos="4309"/>
          <w:tab w:val="right" w:pos="8618"/>
        </w:tabs>
        <w:spacing w:before="120" w:after="120"/>
      </w:pPr>
      <w:r>
        <w:tab/>
      </w:r>
      <m:oMath>
        <m:r>
          <m:t>μ</m:t>
        </m:r>
        <m:d>
          <m:dPr>
            <m:begChr m:val="("/>
            <m:sepChr m:val=""/>
            <m:endChr m:val=")"/>
            <m:grow/>
          </m:dPr>
          <m:e>
            <m:r>
              <m:t>G</m:t>
            </m:r>
          </m:e>
        </m:d>
        <m:r>
          <m:rPr>
            <m:sty m:val="p"/>
          </m:rPr>
          <m:t>=</m:t>
        </m:r>
        <m:f>
          <m:fPr>
            <m:type m:val="bar"/>
          </m:fPr>
          <m:num>
            <m:r>
              <m:rPr>
                <m:sty m:val="p"/>
              </m:rPr>
              <m:t>|</m:t>
            </m:r>
            <m:r>
              <m:rPr>
                <m:sty m:val="p"/>
              </m:rPr>
              <m:t>{</m:t>
            </m:r>
            <m:r>
              <m:t>w</m:t>
            </m:r>
            <m:r>
              <m:rPr>
                <m:sty m:val="p"/>
              </m:rPr>
              <m:t>∈</m:t>
            </m:r>
            <m:sSub>
              <m:e>
                <m:r>
                  <m:t>V</m:t>
                </m:r>
              </m:e>
              <m:sub>
                <m:r>
                  <m:t>c</m:t>
                </m:r>
              </m:sub>
            </m:sSub>
            <m:r>
              <m:rPr>
                <m:sty m:val="p"/>
              </m:rPr>
              <m:t>:</m:t>
            </m:r>
            <m:d>
              <m:dPr>
                <m:begChr m:val="|"/>
                <m:sepChr m:val=""/>
                <m:endChr m:val="|"/>
                <m:grow/>
              </m:dPr>
              <m:e>
                <m:r>
                  <m:rPr>
                    <m:sty m:val="p"/>
                  </m:rPr>
                  <m:t>{</m:t>
                </m:r>
                <m:r>
                  <m:t>u</m:t>
                </m:r>
                <m:r>
                  <m:rPr>
                    <m:sty m:val="p"/>
                  </m:rPr>
                  <m:t>:</m:t>
                </m:r>
                <m:d>
                  <m:dPr>
                    <m:begChr m:val="("/>
                    <m:sepChr m:val=""/>
                    <m:endChr m:val=")"/>
                    <m:grow/>
                  </m:dPr>
                  <m:e>
                    <m:r>
                      <m:t>u</m:t>
                    </m:r>
                    <m:r>
                      <m:rPr>
                        <m:sty m:val="p"/>
                      </m:rPr>
                      <m:t>,</m:t>
                    </m:r>
                    <m:r>
                      <m:rPr>
                        <m:sty m:val="p"/>
                      </m:rPr>
                      <m:t>⋅</m:t>
                    </m:r>
                    <m:r>
                      <m:rPr>
                        <m:sty m:val="p"/>
                      </m:rPr>
                      <m:t>,</m:t>
                    </m:r>
                    <m:r>
                      <m:rPr>
                        <m:sty m:val="p"/>
                      </m:rPr>
                      <m:t>⋅</m:t>
                    </m:r>
                    <m:r>
                      <m:rPr>
                        <m:sty m:val="p"/>
                      </m:rPr>
                      <m:t>,</m:t>
                    </m:r>
                    <m:r>
                      <m:t>w</m:t>
                    </m:r>
                  </m:e>
                </m:d>
                <m:r>
                  <m:rPr>
                    <m:sty m:val="p"/>
                  </m:rPr>
                  <m:t>∈</m:t>
                </m:r>
                <m:sSub>
                  <m:e>
                    <m:r>
                      <m:t>E</m:t>
                    </m:r>
                  </m:e>
                  <m:sub>
                    <m:r>
                      <m:t>c</m:t>
                    </m:r>
                  </m:sub>
                </m:sSub>
                <m:r>
                  <m:rPr>
                    <m:sty m:val="p"/>
                  </m:rPr>
                  <m:t>}</m:t>
                </m:r>
              </m:e>
            </m:d>
            <m:r>
              <m:rPr>
                <m:sty m:val="p"/>
              </m:rPr>
              <m:t>&gt;</m:t>
            </m:r>
            <m:r>
              <m:t>1</m:t>
            </m:r>
            <m:r>
              <m:rPr>
                <m:sty m:val="p"/>
              </m:rPr>
              <m:t>}</m:t>
            </m:r>
            <m:r>
              <m:rPr>
                <m:sty m:val="p"/>
              </m:rPr>
              <m:t>|</m:t>
            </m:r>
          </m:num>
          <m:den>
            <m:d>
              <m:dPr>
                <m:begChr m:val="|"/>
                <m:sepChr m:val=""/>
                <m:endChr m:val="|"/>
                <m:grow/>
              </m:dPr>
              <m:e>
                <m:sSub>
                  <m:e>
                    <m:r>
                      <m:t>V</m:t>
                    </m:r>
                  </m:e>
                  <m:sub>
                    <m:r>
                      <m:t>c</m:t>
                    </m:r>
                  </m:sub>
                </m:sSub>
              </m:e>
            </m:d>
          </m:den>
        </m:f>
      </m:oMath>
      <w:r>
        <w:tab/>
        <w:t>(4.3)</w:t>
      </w:r>
    </w:p>
    <w:p>
      <w:pPr>
        <w:pStyle w:val="FirstParagraph"/>
      </w:pPr>
      <w:r>
        <w:t xml:space="preserve">Across the 26 services of the evaluation,</w:t>
      </w:r>
      <w:r>
        <w:t xml:space="preserve"> </w:t>
      </w:r>
      <m:oMath>
        <m:r>
          <m:t>μ</m:t>
        </m:r>
        <m:r>
          <m:rPr>
            <m:sty m:val="p"/>
          </m:rPr>
          <m:t>=</m:t>
        </m:r>
        <m:r>
          <m:t>3.1</m:t>
        </m:r>
        <m:r>
          <m:t> </m:t>
        </m:r>
        <m:r>
          <m:rPr>
            <m:sty m:val="p"/>
          </m:rPr>
          <m:t>%</m:t>
        </m:r>
      </m:oMath>
      <w:r>
        <w:t xml:space="preserve"> </w:t>
      </w:r>
      <w:r>
        <w:t xml:space="preserve">overall and at most</w:t>
      </w:r>
      <w:r>
        <w:t xml:space="preserve"> </w:t>
      </w:r>
      <m:oMath>
        <m:r>
          <m:t>12.1</m:t>
        </m:r>
        <m:r>
          <m:t> </m:t>
        </m:r>
        <m:r>
          <m:rPr>
            <m:sty m:val="p"/>
          </m:rPr>
          <m:t>%</m:t>
        </m:r>
      </m:oMath>
      <w:r>
        <w:t xml:space="preserve"> </w:t>
      </w:r>
      <w:r>
        <w:t xml:space="preserve">for a single service (Chapter 7). A BFS over</w:t>
      </w:r>
      <w:r>
        <w:t xml:space="preserve"> </w:t>
      </w:r>
      <m:oMath>
        <m:sSub>
          <m:e>
            <m:r>
              <m:t>G</m:t>
            </m:r>
          </m:e>
          <m:sub>
            <m:r>
              <m:t>c</m:t>
            </m:r>
          </m:sub>
        </m:sSub>
      </m:oMath>
      <w:r>
        <w:t xml:space="preserve"> </w:t>
      </w:r>
      <w:r>
        <w:t xml:space="preserve">turns the</w:t>
      </w:r>
      <w:r>
        <w:t xml:space="preserve"> </w:t>
      </w:r>
      <w:r>
        <w:t xml:space="preserve">almost-tree into a proper tree</w:t>
      </w:r>
      <w:r>
        <w:t xml:space="preserve"> </w:t>
      </w:r>
      <m:oMath>
        <m:r>
          <m:t>T</m:t>
        </m:r>
      </m:oMath>
      <w:r>
        <w:t xml:space="preserve"> </w:t>
      </w:r>
      <w:r>
        <w:t xml:space="preserve">by keeping, for every vertex, the edge</w:t>
      </w:r>
      <w:r>
        <w:t xml:space="preserve"> </w:t>
      </w:r>
      <w:r>
        <w:t xml:space="preserve">through which it was first discovered; by the BFS property this is a shortest</w:t>
      </w:r>
      <w:r>
        <w:t xml:space="preserve"> </w:t>
      </w:r>
      <w:r>
        <w:t xml:space="preserve">path from</w:t>
      </w:r>
      <w:r>
        <w:t xml:space="preserve"> </w:t>
      </w:r>
      <m:oMath>
        <m:r>
          <m:t>r</m:t>
        </m:r>
      </m:oMath>
      <w:r>
        <w:t xml:space="preserve">. The</w:t>
      </w:r>
      <w:r>
        <w:t xml:space="preserve"> </w:t>
      </w:r>
      <w:r>
        <w:rPr>
          <w:iCs/>
          <w:i/>
        </w:rPr>
        <w:t xml:space="preserve">depth</w:t>
      </w:r>
      <w:r>
        <w:t xml:space="preserve"> </w:t>
      </w:r>
      <m:oMath>
        <m:r>
          <m:t>d</m:t>
        </m:r>
        <m:d>
          <m:dPr>
            <m:begChr m:val="("/>
            <m:sepChr m:val=""/>
            <m:endChr m:val=")"/>
            <m:grow/>
          </m:dPr>
          <m:e>
            <m:r>
              <m:t>v</m:t>
            </m:r>
          </m:e>
        </m:d>
      </m:oMath>
      <w:r>
        <w:t xml:space="preserve"> </w:t>
      </w:r>
      <w:r>
        <w:t xml:space="preserve">of a vertex is its distance from</w:t>
      </w:r>
      <w:r>
        <w:t xml:space="preserve"> </w:t>
      </w:r>
      <m:oMath>
        <m:r>
          <m:t>r</m:t>
        </m:r>
      </m:oMath>
      <w:r>
        <w:t xml:space="preserve"> </w:t>
      </w:r>
      <w:r>
        <w:t xml:space="preserve">in</w:t>
      </w:r>
      <w:r>
        <w:t xml:space="preserve"> </w:t>
      </w:r>
      <m:oMath>
        <m:sSub>
          <m:e>
            <m:r>
              <m:t>G</m:t>
            </m:r>
          </m:e>
          <m:sub>
            <m:r>
              <m:t>c</m:t>
            </m:r>
          </m:sub>
        </m:sSub>
      </m:oMath>
      <w:r>
        <w:t xml:space="preserve">, and the</w:t>
      </w:r>
      <w:r>
        <w:t xml:space="preserve"> </w:t>
      </w:r>
      <w:r>
        <w:rPr>
          <w:iCs/>
          <w:i/>
        </w:rPr>
        <w:t xml:space="preserve">levels</w:t>
      </w:r>
      <w:r>
        <w:t xml:space="preserve"> </w:t>
      </w:r>
      <w:r>
        <w:t xml:space="preserve">of the tree are</w:t>
      </w:r>
    </w:p>
    <w:p>
      <w:pPr>
        <w:tabs>
          <w:tab w:val="center" w:pos="4309"/>
          <w:tab w:val="right" w:pos="8618"/>
        </w:tabs>
        <w:spacing w:before="120" w:after="120"/>
      </w:pPr>
      <w:r>
        <w:tab/>
      </w:r>
      <m:oMath>
        <m:sSub>
          <m:e>
            <m:r>
              <m:t>L</m:t>
            </m:r>
          </m:e>
          <m:sub>
            <m:r>
              <m:t>k</m:t>
            </m:r>
          </m:sub>
        </m:sSub>
        <m:r>
          <m:rPr>
            <m:sty m:val="p"/>
          </m:rPr>
          <m:t>=</m:t>
        </m:r>
        <m:r>
          <m:rPr>
            <m:sty m:val="p"/>
          </m:rPr>
          <m:t>{</m:t>
        </m:r>
        <m:r>
          <m:t>v</m:t>
        </m:r>
        <m:r>
          <m:rPr>
            <m:sty m:val="p"/>
          </m:rPr>
          <m:t>∈</m:t>
        </m:r>
        <m:sSub>
          <m:e>
            <m:r>
              <m:t>V</m:t>
            </m:r>
          </m:e>
          <m:sub>
            <m:r>
              <m:t>c</m:t>
            </m:r>
          </m:sub>
        </m:sSub>
        <m:r>
          <m:rPr>
            <m:sty m:val="p"/>
          </m:rPr>
          <m:t>:</m:t>
        </m:r>
        <m:r>
          <m:t>d</m:t>
        </m:r>
        <m:d>
          <m:dPr>
            <m:begChr m:val="("/>
            <m:sepChr m:val=""/>
            <m:endChr m:val=")"/>
            <m:grow/>
          </m:dPr>
          <m:e>
            <m:r>
              <m:t>v</m:t>
            </m:r>
          </m:e>
        </m:d>
        <m:r>
          <m:rPr>
            <m:sty m:val="p"/>
          </m:rPr>
          <m:t>=</m:t>
        </m:r>
        <m:r>
          <m:t>k</m:t>
        </m:r>
        <m:r>
          <m:rPr>
            <m:sty m:val="p"/>
          </m:rPr>
          <m:t>}</m:t>
        </m:r>
        <m:r>
          <m:rPr>
            <m:sty m:val="p"/>
          </m:rPr>
          <m:t>,</m:t>
        </m:r>
        <m:r>
          <m:t>  </m:t>
        </m:r>
        <m:r>
          <m:t>k</m:t>
        </m:r>
        <m:r>
          <m:rPr>
            <m:sty m:val="p"/>
          </m:rPr>
          <m:t>=</m:t>
        </m:r>
        <m:r>
          <m:t>0</m:t>
        </m:r>
        <m:r>
          <m:rPr>
            <m:sty m:val="p"/>
          </m:rPr>
          <m:t>,</m:t>
        </m:r>
        <m:r>
          <m:rPr>
            <m:sty m:val="p"/>
          </m:rPr>
          <m:t>…</m:t>
        </m:r>
        <m:r>
          <m:rPr>
            <m:sty m:val="p"/>
          </m:rPr>
          <m:t>,</m:t>
        </m:r>
        <m:r>
          <m:t>D</m:t>
        </m:r>
      </m:oMath>
      <w:r>
        <w:tab/>
        <w:t>(4.4)</w:t>
      </w:r>
    </w:p>
    <w:p>
      <w:pPr>
        <w:pStyle w:val="FirstParagraph"/>
      </w:pPr>
      <w:r>
        <w:t xml:space="preserve">where</w:t>
      </w:r>
      <w:r>
        <w:t xml:space="preserve"> </w:t>
      </w:r>
      <m:oMath>
        <m:r>
          <m:t>D</m:t>
        </m:r>
        <m:r>
          <m:rPr>
            <m:sty m:val="p"/>
          </m:rPr>
          <m:t>=</m:t>
        </m:r>
        <m:sSub>
          <m:e>
            <m:r>
              <m:rPr>
                <m:sty m:val="p"/>
              </m:rPr>
              <m:t>max</m:t>
            </m:r>
          </m:e>
          <m:sub>
            <m:r>
              <m:t>v</m:t>
            </m:r>
          </m:sub>
        </m:sSub>
        <m:r>
          <m:t>d</m:t>
        </m:r>
        <m:d>
          <m:dPr>
            <m:begChr m:val="("/>
            <m:sepChr m:val=""/>
            <m:endChr m:val=")"/>
            <m:grow/>
          </m:dPr>
          <m:e>
            <m:r>
              <m:t>v</m:t>
            </m:r>
          </m:e>
        </m:d>
      </m:oMath>
      <w:r>
        <w:t xml:space="preserve"> </w:t>
      </w:r>
      <w:r>
        <w:t xml:space="preserve">is the height of the tree. All services studied have</w:t>
      </w:r>
      <w:r>
        <w:t xml:space="preserve"> </w:t>
      </w:r>
      <m:oMath>
        <m:r>
          <m:t>6</m:t>
        </m:r>
        <m:r>
          <m:rPr>
            <m:sty m:val="p"/>
          </m:rPr>
          <m:t>≤</m:t>
        </m:r>
        <m:r>
          <m:t>D</m:t>
        </m:r>
        <m:r>
          <m:rPr>
            <m:sty m:val="p"/>
          </m:rPr>
          <m:t>≤</m:t>
        </m:r>
        <m:r>
          <m:t>8</m:t>
        </m:r>
      </m:oMath>
      <w:r>
        <w:t xml:space="preserve"> </w:t>
      </w:r>
      <w:r>
        <w:t xml:space="preserve">(see Figure 7.7).</w:t>
      </w:r>
    </w:p>
    <w:bookmarkEnd w:id="42"/>
    <w:bookmarkStart w:id="43" w:name="resource-queries"/>
    <w:p>
      <w:pPr>
        <w:pStyle w:val="Heading2"/>
      </w:pPr>
      <w:r>
        <w:t xml:space="preserve">4.3 Resource Queries</w:t>
      </w:r>
    </w:p>
    <w:p>
      <w:pPr>
        <w:pStyle w:val="FirstParagraph"/>
      </w:pPr>
      <w:r>
        <w:t xml:space="preserve">A monitoring tool is interested in a small number of hardware classes. Instead of</w:t>
      </w:r>
      <w:r>
        <w:t xml:space="preserve"> </w:t>
      </w:r>
      <w:r>
        <w:t xml:space="preserve">a location, a class is described by</w:t>
      </w:r>
      <w:r>
        <w:t xml:space="preserve"> </w:t>
      </w:r>
      <w:r>
        <w:rPr>
          <w:iCs/>
          <w:i/>
        </w:rPr>
        <w:t xml:space="preserve">what</w:t>
      </w:r>
      <w:r>
        <w:t xml:space="preserve"> </w:t>
      </w:r>
      <w:r>
        <w:t xml:space="preserve">its instances are.</w:t>
      </w:r>
    </w:p>
    <w:p>
      <w:pPr>
        <w:pStyle w:val="BodyText"/>
      </w:pPr>
      <w:r>
        <w:rPr>
          <w:bCs/>
          <w:b/>
        </w:rPr>
        <w:t xml:space="preserve">Definition 4.2</w:t>
      </w:r>
      <w:r>
        <w:t xml:space="preserve"> </w:t>
      </w:r>
      <w:r>
        <w:t xml:space="preserve">(Resource query). A resource query is a triple</w:t>
      </w:r>
      <w:r>
        <w:t xml:space="preserve"> </w:t>
      </w:r>
      <m:oMath>
        <m:r>
          <m:t>Q</m:t>
        </m:r>
        <m:r>
          <m:rPr>
            <m:sty m:val="p"/>
          </m:rPr>
          <m:t>=</m:t>
        </m:r>
        <m:d>
          <m:dPr>
            <m:begChr m:val="("/>
            <m:sepChr m:val=""/>
            <m:endChr m:val=")"/>
            <m:grow/>
          </m:dPr>
          <m:e>
            <m:r>
              <m:t>P</m:t>
            </m:r>
            <m:r>
              <m:rPr>
                <m:sty m:val="p"/>
              </m:rPr>
              <m:t>,</m:t>
            </m:r>
            <m:r>
              <m:t>M</m:t>
            </m:r>
            <m:r>
              <m:rPr>
                <m:sty m:val="p"/>
              </m:rPr>
              <m:t>,</m:t>
            </m:r>
            <m:r>
              <m:t>φ</m:t>
            </m:r>
          </m:e>
        </m:d>
      </m:oMath>
      <w:r>
        <w:t xml:space="preserve"> </w:t>
      </w:r>
      <w:r>
        <w:t xml:space="preserve">where</w:t>
      </w:r>
      <w:r>
        <w:t xml:space="preserve"> </w:t>
      </w:r>
      <m:oMath>
        <m:r>
          <m:t>P</m:t>
        </m:r>
        <m:r>
          <m:rPr>
            <m:sty m:val="p"/>
          </m:rPr>
          <m:t>⊆</m:t>
        </m:r>
        <m:r>
          <m:rPr>
            <m:scr m:val="script"/>
            <m:sty m:val="p"/>
          </m:rPr>
          <m:t>T</m:t>
        </m:r>
      </m:oMath>
      <w:r>
        <w:t xml:space="preserve"> </w:t>
      </w:r>
      <w:r>
        <w:t xml:space="preserve">is a</w:t>
      </w:r>
      <w:r>
        <w:t xml:space="preserve"> </w:t>
      </w:r>
      <w:r>
        <w:t xml:space="preserve">set of resource types,</w:t>
      </w:r>
      <w:r>
        <w:t xml:space="preserve"> </w:t>
      </w:r>
      <m:oMath>
        <m:r>
          <m:t>M</m:t>
        </m:r>
        <m:r>
          <m:rPr>
            <m:sty m:val="p"/>
          </m:rPr>
          <m:t>⊆</m:t>
        </m:r>
        <m:r>
          <m:rPr>
            <m:scr m:val="script"/>
            <m:sty m:val="p"/>
          </m:rPr>
          <m:t>T</m:t>
        </m:r>
        <m:r>
          <m:rPr>
            <m:sty m:val="p"/>
          </m:rPr>
          <m:t>×</m:t>
        </m:r>
        <m:r>
          <m:t>Π</m:t>
        </m:r>
      </m:oMath>
      <w:r>
        <w:t xml:space="preserve"> </w:t>
      </w:r>
      <w:r>
        <w:t xml:space="preserve">is a set of</w:t>
      </w:r>
      <w:r>
        <w:t xml:space="preserve"> </w:t>
      </w:r>
      <w:r>
        <w:rPr>
          <w:iCs/>
          <w:i/>
        </w:rPr>
        <w:t xml:space="preserve">embedded locations</w:t>
      </w:r>
      <w:r>
        <w:t xml:space="preserve"> </w:t>
      </w:r>
      <w:r>
        <w:t xml:space="preserve">(a parent type and one of its array properties), and</w:t>
      </w:r>
      <w:r>
        <w:t xml:space="preserve"> </w:t>
      </w:r>
      <m:oMath>
        <m:r>
          <m:t>φ</m:t>
        </m:r>
        <m:r>
          <m:rPr>
            <m:sty m:val="p"/>
          </m:rPr>
          <m:t>:</m:t>
        </m:r>
        <m:r>
          <m:rPr>
            <m:scr m:val="script"/>
            <m:sty m:val="p"/>
          </m:rPr>
          <m:t>T</m:t>
        </m:r>
        <m:r>
          <m:rPr>
            <m:sty m:val="p"/>
          </m:rPr>
          <m:t>×</m:t>
        </m:r>
        <m:r>
          <m:rPr>
            <m:sty m:val="p"/>
          </m:rPr>
          <m:t>J</m:t>
        </m:r>
        <m:r>
          <m:rPr>
            <m:sty m:val="p"/>
          </m:rPr>
          <m:t>S</m:t>
        </m:r>
        <m:r>
          <m:rPr>
            <m:sty m:val="p"/>
          </m:rPr>
          <m:t>O</m:t>
        </m:r>
        <m:r>
          <m:rPr>
            <m:sty m:val="p"/>
          </m:rPr>
          <m:t>N</m:t>
        </m:r>
        <m:r>
          <m:rPr>
            <m:sty m:val="p"/>
          </m:rPr>
          <m:t>→</m:t>
        </m:r>
        <m:r>
          <m:rPr>
            <m:sty m:val="p"/>
          </m:rPr>
          <m:t>{</m:t>
        </m:r>
        <m:r>
          <m:t>0</m:t>
        </m:r>
        <m:r>
          <m:rPr>
            <m:sty m:val="p"/>
          </m:rPr>
          <m:t>,</m:t>
        </m:r>
        <m:r>
          <m:t>1</m:t>
        </m:r>
        <m:r>
          <m:rPr>
            <m:sty m:val="p"/>
          </m:rPr>
          <m:t>}</m:t>
        </m:r>
      </m:oMath>
      <w:r>
        <w:t xml:space="preserve"> </w:t>
      </w:r>
      <w:r>
        <w:t xml:space="preserve">is a content predicate. The</w:t>
      </w:r>
      <w:r>
        <w:t xml:space="preserve"> </w:t>
      </w:r>
      <w:r>
        <w:t xml:space="preserve">answer of</w:t>
      </w:r>
      <w:r>
        <w:t xml:space="preserve"> </w:t>
      </w:r>
      <m:oMath>
        <m:r>
          <m:t>Q</m:t>
        </m:r>
      </m:oMath>
      <w:r>
        <w:t xml:space="preserve"> </w:t>
      </w:r>
      <w:r>
        <w:t xml:space="preserve">on</w:t>
      </w:r>
      <w:r>
        <w:t xml:space="preserve"> </w:t>
      </w:r>
      <m:oMath>
        <m:r>
          <m:t>G</m:t>
        </m:r>
      </m:oMath>
      <w:r>
        <w:t xml:space="preserve"> </w:t>
      </w:r>
      <w:r>
        <w:t xml:space="preserve">is</w:t>
      </w:r>
    </w:p>
    <w:p>
      <w:pPr>
        <w:tabs>
          <w:tab w:val="center" w:pos="4309"/>
          <w:tab w:val="right" w:pos="8618"/>
        </w:tabs>
        <w:spacing w:before="120" w:after="120"/>
      </w:pPr>
      <w:r>
        <w:tab/>
      </w:r>
      <m:oMath>
        <m:m>
          <m:mPr>
            <m:baseJc m:val="center"/>
            <m:plcHide m:val="1"/>
            <m:mcs>
              <m:mc>
                <m:mcPr>
                  <m:count m:val="1"/>
                  <m:mcJc m:val="right"/>
                </m:mcPr>
              </m:mc>
              <m:mc>
                <m:mcPr>
                  <m:count m:val="1"/>
                  <m:mcJc m:val="left"/>
                </m:mcPr>
              </m:mc>
            </m:mcs>
          </m:mPr>
          <m:mr>
            <m:e>
              <m:sSub>
                <m:e>
                  <m:r>
                    <m:rPr>
                      <m:scr m:val="script"/>
                      <m:sty m:val="p"/>
                    </m:rPr>
                    <m:t>A</m:t>
                  </m:r>
                </m:e>
                <m:sub>
                  <m:r>
                    <m:t>Q</m:t>
                  </m:r>
                </m:sub>
              </m:sSub>
              <m:d>
                <m:dPr>
                  <m:begChr m:val="("/>
                  <m:sepChr m:val=""/>
                  <m:endChr m:val=")"/>
                  <m:grow/>
                </m:dPr>
                <m:e>
                  <m:r>
                    <m:t>G</m:t>
                  </m:r>
                </m:e>
              </m:d>
              <m:r>
                <m:t> </m:t>
              </m:r>
              <m:r>
                <m:rPr>
                  <m:sty m:val="p"/>
                </m:rPr>
                <m:t>=</m:t>
              </m:r>
              <m:r>
                <m:t> </m:t>
              </m:r>
            </m:e>
            <m:e>
              <m:r>
                <m:rPr>
                  <m:sty m:val="p"/>
                </m:rPr>
                <m:t>{</m:t>
              </m:r>
              <m:r>
                <m:t> </m:t>
              </m:r>
              <m:r>
                <m:t>v</m:t>
              </m:r>
              <m:r>
                <m:rPr>
                  <m:sty m:val="p"/>
                </m:rPr>
                <m:t>∈</m:t>
              </m:r>
              <m:sSub>
                <m:e>
                  <m:r>
                    <m:t>V</m:t>
                  </m:r>
                </m:e>
                <m:sub>
                  <m:r>
                    <m:t>c</m:t>
                  </m:r>
                </m:sub>
              </m:sSub>
              <m:r>
                <m:rPr>
                  <m:sty m:val="p"/>
                </m:rPr>
                <m:t>:</m:t>
              </m:r>
              <m:r>
                <m:t>τ</m:t>
              </m:r>
              <m:d>
                <m:dPr>
                  <m:begChr m:val="("/>
                  <m:sepChr m:val=""/>
                  <m:endChr m:val=")"/>
                  <m:grow/>
                </m:dPr>
                <m:e>
                  <m:r>
                    <m:t>v</m:t>
                  </m:r>
                </m:e>
              </m:d>
              <m:r>
                <m:rPr>
                  <m:sty m:val="p"/>
                </m:rPr>
                <m:t>∈</m:t>
              </m:r>
              <m:r>
                <m:t>P</m:t>
              </m:r>
              <m:r>
                <m:rPr>
                  <m:sty m:val="p"/>
                </m:rPr>
                <m:t>∧</m:t>
              </m:r>
              <m:r>
                <m:t>φ</m:t>
              </m:r>
              <m:d>
                <m:dPr>
                  <m:begChr m:val="("/>
                  <m:sepChr m:val=""/>
                  <m:endChr m:val=")"/>
                  <m:grow/>
                </m:dPr>
                <m:e>
                  <m:r>
                    <m:t>τ</m:t>
                  </m:r>
                  <m:d>
                    <m:dPr>
                      <m:begChr m:val="("/>
                      <m:sepChr m:val=""/>
                      <m:endChr m:val=")"/>
                      <m:grow/>
                    </m:dPr>
                    <m:e>
                      <m:r>
                        <m:t>v</m:t>
                      </m:r>
                    </m:e>
                  </m:d>
                  <m:r>
                    <m:rPr>
                      <m:sty m:val="p"/>
                    </m:rPr>
                    <m:t>,</m:t>
                  </m:r>
                  <m:r>
                    <m:t>β</m:t>
                  </m:r>
                  <m:d>
                    <m:dPr>
                      <m:begChr m:val="("/>
                      <m:sepChr m:val=""/>
                      <m:endChr m:val=")"/>
                      <m:grow/>
                    </m:dPr>
                    <m:e>
                      <m:r>
                        <m:t>v</m:t>
                      </m:r>
                    </m:e>
                  </m:d>
                </m:e>
              </m:d>
              <m:r>
                <m:t> </m:t>
              </m:r>
              <m:r>
                <m:rPr>
                  <m:sty m:val="p"/>
                </m:rPr>
                <m:t>}</m:t>
              </m:r>
            </m:e>
          </m:mr>
          <m:mr>
            <m:e>
              <m:r>
                <m:t> </m:t>
              </m:r>
              <m:r>
                <m:rPr>
                  <m:sty m:val="p"/>
                </m:rPr>
                <m:t>∪</m:t>
              </m:r>
              <m:r>
                <m:t> </m:t>
              </m:r>
            </m:e>
            <m:e>
              <m:r>
                <m:rPr>
                  <m:sty m:val="p"/>
                </m:rPr>
                <m:t>{</m:t>
              </m:r>
              <m:r>
                <m:t> </m:t>
              </m:r>
              <m:r>
                <m:t>ι</m:t>
              </m:r>
              <m:d>
                <m:dPr>
                  <m:begChr m:val="("/>
                  <m:sepChr m:val=""/>
                  <m:endChr m:val=")"/>
                  <m:grow/>
                </m:dPr>
                <m:e>
                  <m:r>
                    <m:t>v</m:t>
                  </m:r>
                  <m:r>
                    <m:rPr>
                      <m:sty m:val="p"/>
                    </m:rPr>
                    <m:t>,</m:t>
                  </m:r>
                  <m:r>
                    <m:t>m</m:t>
                  </m:r>
                  <m:r>
                    <m:rPr>
                      <m:sty m:val="p"/>
                    </m:rPr>
                    <m:t>,</m:t>
                  </m:r>
                  <m:r>
                    <m:t>i</m:t>
                  </m:r>
                </m:e>
              </m:d>
              <m:r>
                <m:rPr>
                  <m:sty m:val="p"/>
                </m:rPr>
                <m:t>:</m:t>
              </m:r>
              <m:r>
                <m:t>v</m:t>
              </m:r>
              <m:r>
                <m:rPr>
                  <m:sty m:val="p"/>
                </m:rPr>
                <m:t>∈</m:t>
              </m:r>
              <m:sSub>
                <m:e>
                  <m:r>
                    <m:t>V</m:t>
                  </m:r>
                </m:e>
                <m:sub>
                  <m:r>
                    <m:t>c</m:t>
                  </m:r>
                </m:sub>
              </m:sSub>
              <m:r>
                <m:rPr>
                  <m:sty m:val="p"/>
                </m:rPr>
                <m:t>,</m:t>
              </m:r>
              <m:r>
                <m:t> </m:t>
              </m:r>
              <m:d>
                <m:dPr>
                  <m:begChr m:val="("/>
                  <m:sepChr m:val=""/>
                  <m:endChr m:val=")"/>
                  <m:grow/>
                </m:dPr>
                <m:e>
                  <m:r>
                    <m:t>τ</m:t>
                  </m:r>
                  <m:d>
                    <m:dPr>
                      <m:begChr m:val="("/>
                      <m:sepChr m:val=""/>
                      <m:endChr m:val=")"/>
                      <m:grow/>
                    </m:dPr>
                    <m:e>
                      <m:r>
                        <m:t>v</m:t>
                      </m:r>
                    </m:e>
                  </m:d>
                  <m:r>
                    <m:rPr>
                      <m:sty m:val="p"/>
                    </m:rPr>
                    <m:t>,</m:t>
                  </m:r>
                  <m:r>
                    <m:t>m</m:t>
                  </m:r>
                </m:e>
              </m:d>
              <m:r>
                <m:rPr>
                  <m:sty m:val="p"/>
                </m:rPr>
                <m:t>∈</m:t>
              </m:r>
              <m:r>
                <m:t>M</m:t>
              </m:r>
              <m:r>
                <m:rPr>
                  <m:sty m:val="p"/>
                </m:rPr>
                <m:t>,</m:t>
              </m:r>
              <m:r>
                <m:t> </m:t>
              </m:r>
              <m:r>
                <m:t>0</m:t>
              </m:r>
              <m:r>
                <m:rPr>
                  <m:sty m:val="p"/>
                </m:rPr>
                <m:t>≤</m:t>
              </m:r>
              <m:r>
                <m:t>i</m:t>
              </m:r>
              <m:r>
                <m:rPr>
                  <m:sty m:val="p"/>
                </m:rPr>
                <m:t>&lt;</m:t>
              </m:r>
              <m:d>
                <m:dPr>
                  <m:begChr m:val="|"/>
                  <m:sepChr m:val=""/>
                  <m:endChr m:val="|"/>
                  <m:grow/>
                </m:dPr>
                <m:e>
                  <m:r>
                    <m:t>β</m:t>
                  </m:r>
                  <m:d>
                    <m:dPr>
                      <m:begChr m:val="("/>
                      <m:sepChr m:val=""/>
                      <m:endChr m:val=")"/>
                      <m:grow/>
                    </m:dPr>
                    <m:e>
                      <m:r>
                        <m:t>v</m:t>
                      </m:r>
                    </m:e>
                  </m:d>
                  <m:d>
                    <m:dPr>
                      <m:begChr m:val="["/>
                      <m:sepChr m:val=""/>
                      <m:endChr m:val="]"/>
                      <m:grow/>
                    </m:dPr>
                    <m:e>
                      <m:r>
                        <m:t>m</m:t>
                      </m:r>
                    </m:e>
                  </m:d>
                </m:e>
              </m:d>
              <m:r>
                <m:t> </m:t>
              </m:r>
              <m:r>
                <m:rPr>
                  <m:sty m:val="p"/>
                </m:rPr>
                <m:t>}</m:t>
              </m:r>
              <m:r>
                <m:rPr>
                  <m:sty m:val="p"/>
                </m:rPr>
                <m:t>,</m:t>
              </m:r>
            </m:e>
          </m:mr>
        </m:m>
      </m:oMath>
      <w:r>
        <w:tab/>
        <w:t>(4.5)</w:t>
      </w:r>
    </w:p>
    <w:p>
      <w:pPr>
        <w:pStyle w:val="FirstParagraph"/>
      </w:pPr>
      <w:r>
        <w:t xml:space="preserve">where</w:t>
      </w:r>
      <w:r>
        <w:t xml:space="preserve"> </w:t>
      </w:r>
      <m:oMath>
        <m:r>
          <m:t>ι</m:t>
        </m:r>
        <m:d>
          <m:dPr>
            <m:begChr m:val="("/>
            <m:sepChr m:val=""/>
            <m:endChr m:val=")"/>
            <m:grow/>
          </m:dPr>
          <m:e>
            <m:r>
              <m:t>v</m:t>
            </m:r>
            <m:r>
              <m:rPr>
                <m:sty m:val="p"/>
              </m:rPr>
              <m:t>,</m:t>
            </m:r>
            <m:r>
              <m:t>m</m:t>
            </m:r>
            <m:r>
              <m:rPr>
                <m:sty m:val="p"/>
              </m:rPr>
              <m:t>,</m:t>
            </m:r>
            <m:r>
              <m:t>i</m:t>
            </m:r>
          </m:e>
        </m:d>
      </m:oMath>
      <w:r>
        <w:t xml:space="preserve"> </w:t>
      </w:r>
      <w:r>
        <w:t xml:space="preserve">is the identity of the</w:t>
      </w:r>
      <w:r>
        <w:t xml:space="preserve"> </w:t>
      </w:r>
      <m:oMath>
        <m:r>
          <m:t>i</m:t>
        </m:r>
      </m:oMath>
      <w:r>
        <w:t xml:space="preserve">-th element of array</w:t>
      </w:r>
      <w:r>
        <w:t xml:space="preserve"> </w:t>
      </w:r>
      <m:oMath>
        <m:r>
          <m:t>m</m:t>
        </m:r>
      </m:oMath>
      <w:r>
        <w:t xml:space="preserve"> </w:t>
      </w:r>
      <w:r>
        <w:t xml:space="preserve">in</w:t>
      </w:r>
      <w:r>
        <w:t xml:space="preserve"> </w:t>
      </w:r>
      <m:oMath>
        <m:r>
          <m:t>β</m:t>
        </m:r>
        <m:d>
          <m:dPr>
            <m:begChr m:val="("/>
            <m:sepChr m:val=""/>
            <m:endChr m:val=")"/>
            <m:grow/>
          </m:dPr>
          <m:e>
            <m:r>
              <m:t>v</m:t>
            </m:r>
          </m:e>
        </m:d>
      </m:oMath>
      <w:r>
        <w:t xml:space="preserve">: the element’s own</w:t>
      </w:r>
      <w:r>
        <w:t xml:space="preserve"> </w:t>
      </w:r>
      <w:r>
        <w:rPr>
          <w:rStyle w:val="VerbatimChar"/>
        </w:rPr>
        <w:t xml:space="preserve">@odata.id</w:t>
      </w:r>
      <w:r>
        <w:t xml:space="preserve"> </w:t>
      </w:r>
      <w:r>
        <w:t xml:space="preserve">if it has one without a fragment,</w:t>
      </w:r>
      <w:r>
        <w:t xml:space="preserve"> </w:t>
      </w:r>
      <w:r>
        <w:t xml:space="preserve">and the JSON-Pointer URI</w:t>
      </w:r>
      <w:r>
        <w:t xml:space="preserve"> </w:t>
      </w:r>
      <w:r>
        <w:rPr>
          <w:rStyle w:val="VerbatimChar"/>
        </w:rPr>
        <w:t xml:space="preserve">v#/m/i</w:t>
      </w:r>
      <w:r>
        <w:t xml:space="preserve"> </w:t>
      </w:r>
      <w:r>
        <w:t xml:space="preserve">otherwise.</w:t>
      </w:r>
    </w:p>
    <w:p>
      <w:pPr>
        <w:pStyle w:val="BodyText"/>
      </w:pPr>
      <w:r>
        <w:t xml:space="preserve">The embedded part</w:t>
      </w:r>
      <w:r>
        <w:t xml:space="preserve"> </w:t>
      </w:r>
      <m:oMath>
        <m:r>
          <m:t>M</m:t>
        </m:r>
      </m:oMath>
      <w:r>
        <w:t xml:space="preserve"> </w:t>
      </w:r>
      <w:r>
        <w:t xml:space="preserve">is needed because older schemas describe components as</w:t>
      </w:r>
      <w:r>
        <w:t xml:space="preserve"> </w:t>
      </w:r>
      <w:r>
        <w:t xml:space="preserve">array elements rather than resources: in</w:t>
      </w:r>
      <w:r>
        <w:t xml:space="preserve"> </w:t>
      </w:r>
      <w:r>
        <w:rPr>
          <w:rStyle w:val="VerbatimChar"/>
        </w:rPr>
        <w:t xml:space="preserve">Power</w:t>
      </w:r>
      <w:r>
        <w:t xml:space="preserve"> </w:t>
      </w:r>
      <w:r>
        <w:t xml:space="preserve">v1 the power supplies are</w:t>
      </w:r>
      <w:r>
        <w:t xml:space="preserve"> </w:t>
      </w:r>
      <w:r>
        <w:t xml:space="preserve">elements of</w:t>
      </w:r>
      <w:r>
        <w:t xml:space="preserve"> </w:t>
      </w:r>
      <w:r>
        <w:rPr>
          <w:rStyle w:val="VerbatimChar"/>
        </w:rPr>
        <w:t xml:space="preserve">PowerSupplies</w:t>
      </w:r>
      <w:r>
        <w:t xml:space="preserve">, in</w:t>
      </w:r>
      <w:r>
        <w:t xml:space="preserve"> </w:t>
      </w:r>
      <w:r>
        <w:rPr>
          <w:rStyle w:val="VerbatimChar"/>
        </w:rPr>
        <w:t xml:space="preserve">Thermal</w:t>
      </w:r>
      <w:r>
        <w:t xml:space="preserve"> </w:t>
      </w:r>
      <w:r>
        <w:t xml:space="preserve">v1 the fans and temperature</w:t>
      </w:r>
      <w:r>
        <w:t xml:space="preserve"> </w:t>
      </w:r>
      <w:r>
        <w:t xml:space="preserve">readings are elements of</w:t>
      </w:r>
      <w:r>
        <w:t xml:space="preserve"> </w:t>
      </w:r>
      <w:r>
        <w:rPr>
          <w:rStyle w:val="VerbatimChar"/>
        </w:rPr>
        <w:t xml:space="preserve">Fans</w:t>
      </w:r>
      <w:r>
        <w:t xml:space="preserve"> </w:t>
      </w:r>
      <w:r>
        <w:t xml:space="preserve">and</w:t>
      </w:r>
      <w:r>
        <w:t xml:space="preserve"> </w:t>
      </w:r>
      <w:r>
        <w:rPr>
          <w:rStyle w:val="VerbatimChar"/>
        </w:rPr>
        <w:t xml:space="preserve">Temperatures</w:t>
      </w:r>
      <w:r>
        <w:t xml:space="preserve">, and in</w:t>
      </w:r>
      <w:r>
        <w:t xml:space="preserve"> </w:t>
      </w:r>
      <w:r>
        <w:rPr>
          <w:rStyle w:val="VerbatimChar"/>
        </w:rPr>
        <w:t xml:space="preserve">SimpleStorage</w:t>
      </w:r>
      <w:r>
        <w:t xml:space="preserve"> </w:t>
      </w:r>
      <w:r>
        <w:t xml:space="preserve">the drives are elements of</w:t>
      </w:r>
      <w:r>
        <w:t xml:space="preserve"> </w:t>
      </w:r>
      <w:r>
        <w:rPr>
          <w:rStyle w:val="VerbatimChar"/>
        </w:rPr>
        <w:t xml:space="preserve">Devices</w:t>
      </w:r>
      <w:r>
        <w:t xml:space="preserve">. The identity</w:t>
      </w:r>
      <w:r>
        <w:t xml:space="preserve"> </w:t>
      </w:r>
      <w:r>
        <w:t xml:space="preserve">function</w:t>
      </w:r>
      <w:r>
        <w:t xml:space="preserve"> </w:t>
      </w:r>
      <m:oMath>
        <m:r>
          <m:t>ι</m:t>
        </m:r>
      </m:oMath>
      <w:r>
        <w:t xml:space="preserve"> </w:t>
      </w:r>
      <w:r>
        <w:t xml:space="preserve">matters for services such as early iDRAC firmware, which give</w:t>
      </w:r>
      <w:r>
        <w:t xml:space="preserve"> </w:t>
      </w:r>
      <w:r>
        <w:t xml:space="preserve">each embedded element a dereferenceable URI that is also reachable as a</w:t>
      </w:r>
      <w:r>
        <w:t xml:space="preserve"> </w:t>
      </w:r>
      <w:r>
        <w:t xml:space="preserve">separate resource of type</w:t>
      </w:r>
      <w:r>
        <w:t xml:space="preserve"> </w:t>
      </w:r>
      <w:r>
        <w:rPr>
          <w:rStyle w:val="VerbatimChar"/>
        </w:rPr>
        <w:t xml:space="preserve">PowerSupply</w:t>
      </w:r>
      <w:r>
        <w:t xml:space="preserve">; without</w:t>
      </w:r>
      <w:r>
        <w:t xml:space="preserve"> </w:t>
      </w:r>
      <m:oMath>
        <m:r>
          <m:t>ι</m:t>
        </m:r>
      </m:oMath>
      <w:r>
        <w:t xml:space="preserve"> </w:t>
      </w:r>
      <w:r>
        <w:t xml:space="preserve">the same power</w:t>
      </w:r>
      <w:r>
        <w:t xml:space="preserve"> </w:t>
      </w:r>
      <w:r>
        <w:t xml:space="preserve">supply would be counted twice.</w:t>
      </w:r>
    </w:p>
    <w:p>
      <w:pPr>
        <w:pStyle w:val="BodyText"/>
      </w:pPr>
      <w:r>
        <w:rPr>
          <w:bCs/>
          <w:b/>
        </w:rPr>
        <w:t xml:space="preserve">Definition 4.3</w:t>
      </w:r>
      <w:r>
        <w:t xml:space="preserve"> </w:t>
      </w:r>
      <w:r>
        <w:t xml:space="preserve">(Anchor types). The</w:t>
      </w:r>
      <w:r>
        <w:t xml:space="preserve"> </w:t>
      </w:r>
      <w:r>
        <w:rPr>
          <w:iCs/>
          <w:i/>
        </w:rPr>
        <w:t xml:space="preserve">anchor types</w:t>
      </w:r>
      <w:r>
        <w:t xml:space="preserve"> </w:t>
      </w:r>
      <w:r>
        <w:t xml:space="preserve">of</w:t>
      </w:r>
      <w:r>
        <w:t xml:space="preserve"> </w:t>
      </w:r>
      <m:oMath>
        <m:r>
          <m:t>Q</m:t>
        </m:r>
      </m:oMath>
      <w:r>
        <w:t xml:space="preserve"> </w:t>
      </w:r>
      <w:r>
        <w:t xml:space="preserve">are the types whose bodies must be fetched to</w:t>
      </w:r>
      <w:r>
        <w:t xml:space="preserve"> </w:t>
      </w:r>
      <w:r>
        <w:t xml:space="preserve">evaluate</w:t>
      </w:r>
      <w:r>
        <w:t xml:space="preserve"> </w:t>
      </w:r>
      <m:oMath>
        <m:r>
          <m:t>Q</m:t>
        </m:r>
      </m:oMath>
      <w:r>
        <w:t xml:space="preserve">:</w:t>
      </w:r>
    </w:p>
    <w:p>
      <w:pPr>
        <w:tabs>
          <w:tab w:val="center" w:pos="4309"/>
          <w:tab w:val="right" w:pos="8618"/>
        </w:tabs>
        <w:spacing w:before="120" w:after="120"/>
      </w:pPr>
      <w:r>
        <w:tab/>
      </w:r>
      <m:oMath>
        <m:r>
          <m:rPr>
            <m:sty m:val="p"/>
          </m:rPr>
          <m:t>Anc</m:t>
        </m:r>
        <m:d>
          <m:dPr>
            <m:begChr m:val="("/>
            <m:sepChr m:val=""/>
            <m:endChr m:val=")"/>
            <m:grow/>
          </m:dPr>
          <m:e>
            <m:r>
              <m:t>Q</m:t>
            </m:r>
          </m:e>
        </m:d>
        <m:r>
          <m:rPr>
            <m:sty m:val="p"/>
          </m:rPr>
          <m:t>=</m:t>
        </m:r>
        <m:r>
          <m:t>P</m:t>
        </m:r>
        <m:r>
          <m:rPr>
            <m:sty m:val="p"/>
          </m:rPr>
          <m:t>∪</m:t>
        </m:r>
        <m:r>
          <m:rPr>
            <m:sty m:val="p"/>
          </m:rPr>
          <m:t>{</m:t>
        </m:r>
        <m:r>
          <m:t>t</m:t>
        </m:r>
        <m:r>
          <m:rPr>
            <m:sty m:val="p"/>
          </m:rPr>
          <m:t>:</m:t>
        </m:r>
        <m:d>
          <m:dPr>
            <m:begChr m:val="("/>
            <m:sepChr m:val=""/>
            <m:endChr m:val=")"/>
            <m:grow/>
          </m:dPr>
          <m:e>
            <m:r>
              <m:t>t</m:t>
            </m:r>
            <m:r>
              <m:rPr>
                <m:sty m:val="p"/>
              </m:rPr>
              <m:t>,</m:t>
            </m:r>
            <m:r>
              <m:t>m</m:t>
            </m:r>
          </m:e>
        </m:d>
        <m:r>
          <m:rPr>
            <m:sty m:val="p"/>
          </m:rPr>
          <m:t>∈</m:t>
        </m:r>
        <m:r>
          <m:t>M</m:t>
        </m:r>
        <m:r>
          <m:rPr>
            <m:sty m:val="p"/>
          </m:rPr>
          <m:t>}</m:t>
        </m:r>
      </m:oMath>
      <w:r>
        <w:tab/>
        <w:t>(4.6)</w:t>
      </w:r>
    </w:p>
    <w:p>
      <w:pPr>
        <w:pStyle w:val="FirstParagraph"/>
      </w:pPr>
      <w:r>
        <w:t xml:space="preserve">Table 4.1 lists the six queries used by the monitoring tool and in the</w:t>
      </w:r>
      <w:r>
        <w:t xml:space="preserve"> </w:t>
      </w:r>
      <w:r>
        <w:t xml:space="preserve">evaluation. They are the only service-independent knowledge the tool requires.</w:t>
      </w:r>
    </w:p>
    <w:p>
      <w:pPr>
        <w:pStyle w:val="TableCaption"/>
      </w:pPr>
      <w:r>
        <w:t xml:space="preserve">Table 4.1: Resource queries of the monitoring tool.</w:t>
      </w:r>
      <w:r>
        <w:t xml:space="preserve"> </w:t>
      </w:r>
      <m:oMath>
        <m:r>
          <m:t>φ</m:t>
        </m:r>
      </m:oMath>
      <w:r>
        <w:t xml:space="preserve"> </w:t>
      </w:r>
      <w:r>
        <w:t xml:space="preserve">is true unless stated.</w:t>
      </w:r>
    </w:p>
    <w:tbl>
      <w:tblPr>
        <w:tblStyle w:val="Table"/>
        <w:tblW w:type="dxa" w:w="8618"/>
        <w:jc w:val="center"/>
        <w:tblLook w:firstRow="1" w:lastRow="0" w:firstColumn="0" w:lastColumn="0" w:noHBand="0" w:noVBand="0" w:val="0020"/>
        <w:tblCaption w:val="Table 4.1: Resource queries of the monitoring tool. \varphi is true unless stated."/>
      </w:tblPr>
      <w:tblGrid>
        <w:gridCol w:w="1300"/>
        <w:gridCol w:w="2194"/>
        <w:gridCol w:w="2623"/>
        <w:gridCol w:w="2501"/>
      </w:tblGrid>
      <w:tr>
        <w:trPr>
          <w:tblHeader w:val="true"/>
        </w:trPr>
        <w:tc>
          <w:tcPr>
            <w:tcW w:type="dxa" w:w="1300"/>
          </w:tcPr>
          <w:p>
            <w:pPr>
              <w:pStyle w:val="TableText"/>
              <w:jc w:val="left"/>
            </w:pPr>
            <w:r>
              <w:t xml:space="preserve">Query</w:t>
            </w:r>
          </w:p>
        </w:tc>
        <w:tc>
          <w:tcPr>
            <w:tcW w:type="dxa" w:w="2194"/>
          </w:tcPr>
          <w:p>
            <w:pPr>
              <w:pStyle w:val="TableText"/>
              <w:jc w:val="left"/>
            </w:pPr>
            <w:r>
              <w:t xml:space="preserve">Types</w:t>
            </w:r>
            <w:r>
              <w:t xml:space="preserve"> </w:t>
            </w:r>
            <m:oMath>
              <m:r>
                <m:t>P</m:t>
              </m:r>
            </m:oMath>
          </w:p>
        </w:tc>
        <w:tc>
          <w:tcPr>
            <w:tcW w:type="dxa" w:w="2623"/>
          </w:tcPr>
          <w:p>
            <w:pPr>
              <w:pStyle w:val="TableText"/>
              <w:jc w:val="left"/>
            </w:pPr>
            <w:r>
              <w:t xml:space="preserve">Embedded locations</w:t>
            </w:r>
            <w:r>
              <w:t xml:space="preserve"> </w:t>
            </w:r>
            <m:oMath>
              <m:r>
                <m:t>M</m:t>
              </m:r>
            </m:oMath>
          </w:p>
        </w:tc>
        <w:tc>
          <w:tcPr>
            <w:tcW w:type="dxa" w:w="2501"/>
          </w:tcPr>
          <w:p>
            <w:pPr>
              <w:pStyle w:val="TableText"/>
              <w:jc w:val="left"/>
            </w:pPr>
            <w:r>
              <w:t xml:space="preserve">Predicate</w:t>
            </w:r>
            <w:r>
              <w:t xml:space="preserve"> </w:t>
            </w:r>
            <m:oMath>
              <m:r>
                <m:t>φ</m:t>
              </m:r>
            </m:oMath>
          </w:p>
        </w:tc>
      </w:tr>
      <w:tr>
        <w:tc>
          <w:tcPr>
            <w:tcW w:type="dxa" w:w="1300"/>
          </w:tcPr>
          <w:p>
            <w:pPr>
              <w:pStyle w:val="TableText"/>
              <w:jc w:val="left"/>
            </w:pPr>
            <w:r>
              <w:t xml:space="preserve">Processor</w:t>
            </w:r>
          </w:p>
        </w:tc>
        <w:tc>
          <w:tcPr>
            <w:tcW w:type="dxa" w:w="2194"/>
          </w:tcPr>
          <w:p>
            <w:pPr>
              <w:pStyle w:val="TableText"/>
              <w:jc w:val="left"/>
            </w:pPr>
            <w:r>
              <w:rPr>
                <w:rStyle w:val="VerbatimChar"/>
              </w:rPr>
              <w:t xml:space="preserve">Processor</w:t>
            </w:r>
          </w:p>
        </w:tc>
        <w:tc>
          <w:tcPr>
            <w:tcW w:type="dxa" w:w="2623"/>
          </w:tcPr>
          <w:p>
            <w:pPr>
              <w:pStyle w:val="TableText"/>
              <w:jc w:val="left"/>
            </w:pPr>
            <w:r>
              <w:t xml:space="preserve">–</w:t>
            </w:r>
          </w:p>
        </w:tc>
        <w:tc>
          <w:tcPr>
            <w:tcW w:type="dxa" w:w="2501"/>
          </w:tcPr>
          <w:p>
            <w:pPr>
              <w:pStyle w:val="TableText"/>
              <w:jc w:val="left"/>
            </w:pPr>
            <w:r>
              <w:rPr>
                <w:rStyle w:val="VerbatimChar"/>
              </w:rPr>
              <w:t xml:space="preserve">ProcessorType</w:t>
            </w:r>
            <w:r>
              <w:t xml:space="preserve"> </w:t>
            </w:r>
            <w:r>
              <w:t xml:space="preserve">is not</w:t>
            </w:r>
            <w:r>
              <w:t xml:space="preserve"> </w:t>
            </w:r>
            <w:r>
              <w:rPr>
                <w:rStyle w:val="VerbatimChar"/>
              </w:rPr>
              <w:t xml:space="preserve">Core</w:t>
            </w:r>
            <w:r>
              <w:t xml:space="preserve"> </w:t>
            </w:r>
            <w:r>
              <w:t xml:space="preserve">or</w:t>
            </w:r>
            <w:r>
              <w:t xml:space="preserve"> </w:t>
            </w:r>
            <w:r>
              <w:rPr>
                <w:rStyle w:val="VerbatimChar"/>
              </w:rPr>
              <w:t xml:space="preserve">Thread</w:t>
            </w:r>
          </w:p>
        </w:tc>
      </w:tr>
      <w:tr>
        <w:tc>
          <w:tcPr>
            <w:tcW w:type="dxa" w:w="1300"/>
          </w:tcPr>
          <w:p>
            <w:pPr>
              <w:pStyle w:val="TableText"/>
              <w:jc w:val="left"/>
            </w:pPr>
            <w:r>
              <w:t xml:space="preserve">Memory</w:t>
            </w:r>
          </w:p>
        </w:tc>
        <w:tc>
          <w:tcPr>
            <w:tcW w:type="dxa" w:w="2194"/>
          </w:tcPr>
          <w:p>
            <w:pPr>
              <w:pStyle w:val="TableText"/>
              <w:jc w:val="left"/>
            </w:pPr>
            <w:r>
              <w:rPr>
                <w:rStyle w:val="VerbatimChar"/>
              </w:rPr>
              <w:t xml:space="preserve">Memory</w:t>
            </w:r>
          </w:p>
        </w:tc>
        <w:tc>
          <w:tcPr>
            <w:tcW w:type="dxa" w:w="2623"/>
          </w:tcPr>
          <w:p>
            <w:pPr>
              <w:pStyle w:val="TableText"/>
              <w:jc w:val="left"/>
            </w:pPr>
            <w:r>
              <w:t xml:space="preserve">–</w:t>
            </w:r>
          </w:p>
        </w:tc>
        <w:tc>
          <w:tcPr>
            <w:tcW w:type="dxa" w:w="2501"/>
          </w:tcPr>
          <w:p>
            <w:pPr>
              <w:pStyle w:val="TableText"/>
              <w:jc w:val="left"/>
            </w:pPr>
            <w:r>
              <w:t xml:space="preserve">–</w:t>
            </w:r>
          </w:p>
        </w:tc>
      </w:tr>
      <w:tr>
        <w:tc>
          <w:tcPr>
            <w:tcW w:type="dxa" w:w="1300"/>
          </w:tcPr>
          <w:p>
            <w:pPr>
              <w:pStyle w:val="TableText"/>
              <w:jc w:val="left"/>
            </w:pPr>
            <w:r>
              <w:t xml:space="preserve">Storage</w:t>
            </w:r>
          </w:p>
        </w:tc>
        <w:tc>
          <w:tcPr>
            <w:tcW w:type="dxa" w:w="2194"/>
          </w:tcPr>
          <w:p>
            <w:pPr>
              <w:pStyle w:val="TableText"/>
              <w:jc w:val="left"/>
            </w:pPr>
            <w:r>
              <w:rPr>
                <w:rStyle w:val="VerbatimChar"/>
              </w:rPr>
              <w:t xml:space="preserve">Drive</w:t>
            </w:r>
          </w:p>
        </w:tc>
        <w:tc>
          <w:tcPr>
            <w:tcW w:type="dxa" w:w="2623"/>
          </w:tcPr>
          <w:p>
            <w:pPr>
              <w:pStyle w:val="TableText"/>
              <w:jc w:val="left"/>
            </w:pPr>
            <w:r>
              <w:t xml:space="preserve">(</w:t>
            </w:r>
            <w:r>
              <w:rPr>
                <w:rStyle w:val="VerbatimChar"/>
              </w:rPr>
              <w:t xml:space="preserve">SimpleStorage</w:t>
            </w:r>
            <w:r>
              <w:t xml:space="preserve">,</w:t>
            </w:r>
            <w:r>
              <w:t xml:space="preserve"> </w:t>
            </w:r>
            <w:r>
              <w:rPr>
                <w:rStyle w:val="VerbatimChar"/>
              </w:rPr>
              <w:t xml:space="preserve">Devices</w:t>
            </w:r>
            <w:r>
              <w:t xml:space="preserve">)</w:t>
            </w:r>
          </w:p>
        </w:tc>
        <w:tc>
          <w:tcPr>
            <w:tcW w:type="dxa" w:w="2501"/>
          </w:tcPr>
          <w:p>
            <w:pPr>
              <w:pStyle w:val="TableText"/>
              <w:jc w:val="left"/>
            </w:pPr>
            <w:r>
              <w:t xml:space="preserve">–</w:t>
            </w:r>
          </w:p>
        </w:tc>
      </w:tr>
      <w:tr>
        <w:tc>
          <w:tcPr>
            <w:tcW w:type="dxa" w:w="1300"/>
          </w:tcPr>
          <w:p>
            <w:pPr>
              <w:pStyle w:val="TableText"/>
              <w:jc w:val="left"/>
            </w:pPr>
            <w:r>
              <w:t xml:space="preserve">Network</w:t>
            </w:r>
          </w:p>
        </w:tc>
        <w:tc>
          <w:tcPr>
            <w:tcW w:type="dxa" w:w="2194"/>
          </w:tcPr>
          <w:p>
            <w:pPr>
              <w:pStyle w:val="TableText"/>
              <w:jc w:val="left"/>
            </w:pPr>
            <w:r>
              <w:rPr>
                <w:rStyle w:val="VerbatimChar"/>
              </w:rPr>
              <w:t xml:space="preserve">EthernetInterface</w:t>
            </w:r>
            <w:r>
              <w:t xml:space="preserve">,</w:t>
            </w:r>
            <w:r>
              <w:t xml:space="preserve"> </w:t>
            </w:r>
            <w:r>
              <w:rPr>
                <w:rStyle w:val="VerbatimChar"/>
              </w:rPr>
              <w:t xml:space="preserve">NetworkAdapter</w:t>
            </w:r>
          </w:p>
        </w:tc>
        <w:tc>
          <w:tcPr>
            <w:tcW w:type="dxa" w:w="2623"/>
          </w:tcPr>
          <w:p>
            <w:pPr>
              <w:pStyle w:val="TableText"/>
              <w:jc w:val="left"/>
            </w:pPr>
            <w:r>
              <w:t xml:space="preserve">–</w:t>
            </w:r>
          </w:p>
        </w:tc>
        <w:tc>
          <w:tcPr>
            <w:tcW w:type="dxa" w:w="2501"/>
          </w:tcPr>
          <w:p>
            <w:pPr>
              <w:pStyle w:val="TableText"/>
              <w:jc w:val="left"/>
            </w:pPr>
            <w:r>
              <w:t xml:space="preserve">–</w:t>
            </w:r>
          </w:p>
        </w:tc>
      </w:tr>
      <w:tr>
        <w:tc>
          <w:tcPr>
            <w:tcW w:type="dxa" w:w="1300"/>
          </w:tcPr>
          <w:p>
            <w:pPr>
              <w:pStyle w:val="TableText"/>
              <w:jc w:val="left"/>
            </w:pPr>
            <w:r>
              <w:t xml:space="preserve">Power</w:t>
            </w:r>
          </w:p>
        </w:tc>
        <w:tc>
          <w:tcPr>
            <w:tcW w:type="dxa" w:w="2194"/>
          </w:tcPr>
          <w:p>
            <w:pPr>
              <w:pStyle w:val="TableText"/>
              <w:jc w:val="left"/>
            </w:pPr>
            <w:r>
              <w:rPr>
                <w:rStyle w:val="VerbatimChar"/>
              </w:rPr>
              <w:t xml:space="preserve">PowerSupply</w:t>
            </w:r>
          </w:p>
        </w:tc>
        <w:tc>
          <w:tcPr>
            <w:tcW w:type="dxa" w:w="2623"/>
          </w:tcPr>
          <w:p>
            <w:pPr>
              <w:pStyle w:val="TableText"/>
              <w:jc w:val="left"/>
            </w:pPr>
            <w:r>
              <w:t xml:space="preserve">(</w:t>
            </w:r>
            <w:r>
              <w:rPr>
                <w:rStyle w:val="VerbatimChar"/>
              </w:rPr>
              <w:t xml:space="preserve">Power</w:t>
            </w:r>
            <w:r>
              <w:t xml:space="preserve">,</w:t>
            </w:r>
            <w:r>
              <w:t xml:space="preserve"> </w:t>
            </w:r>
            <w:r>
              <w:rPr>
                <w:rStyle w:val="VerbatimChar"/>
              </w:rPr>
              <w:t xml:space="preserve">PowerSupplies</w:t>
            </w:r>
            <w:r>
              <w:t xml:space="preserve">)</w:t>
            </w:r>
          </w:p>
        </w:tc>
        <w:tc>
          <w:tcPr>
            <w:tcW w:type="dxa" w:w="2501"/>
          </w:tcPr>
          <w:p>
            <w:pPr>
              <w:pStyle w:val="TableText"/>
              <w:jc w:val="left"/>
            </w:pPr>
            <w:r>
              <w:t xml:space="preserve">–</w:t>
            </w:r>
          </w:p>
        </w:tc>
      </w:tr>
      <w:tr>
        <w:tc>
          <w:tcPr>
            <w:tcW w:type="dxa" w:w="1300"/>
          </w:tcPr>
          <w:p>
            <w:pPr>
              <w:pStyle w:val="TableText"/>
              <w:jc w:val="left"/>
            </w:pPr>
            <w:r>
              <w:t xml:space="preserve">Thermal</w:t>
            </w:r>
          </w:p>
        </w:tc>
        <w:tc>
          <w:tcPr>
            <w:tcW w:type="dxa" w:w="2194"/>
          </w:tcPr>
          <w:p>
            <w:pPr>
              <w:pStyle w:val="TableText"/>
              <w:jc w:val="left"/>
            </w:pPr>
            <w:r>
              <w:rPr>
                <w:rStyle w:val="VerbatimChar"/>
              </w:rPr>
              <w:t xml:space="preserve">Fan</w:t>
            </w:r>
            <w:r>
              <w:t xml:space="preserve">,</w:t>
            </w:r>
            <w:r>
              <w:t xml:space="preserve"> </w:t>
            </w:r>
            <w:r>
              <w:rPr>
                <w:rStyle w:val="VerbatimChar"/>
              </w:rPr>
              <w:t xml:space="preserve">Sensor</w:t>
            </w:r>
          </w:p>
        </w:tc>
        <w:tc>
          <w:tcPr>
            <w:tcW w:type="dxa" w:w="2623"/>
          </w:tcPr>
          <w:p>
            <w:pPr>
              <w:pStyle w:val="TableText"/>
              <w:jc w:val="left"/>
            </w:pPr>
            <w:r>
              <w:t xml:space="preserve">(</w:t>
            </w:r>
            <w:r>
              <w:rPr>
                <w:rStyle w:val="VerbatimChar"/>
              </w:rPr>
              <w:t xml:space="preserve">Thermal</w:t>
            </w:r>
            <w:r>
              <w:t xml:space="preserve">,</w:t>
            </w:r>
            <w:r>
              <w:t xml:space="preserve"> </w:t>
            </w:r>
            <w:r>
              <w:rPr>
                <w:rStyle w:val="VerbatimChar"/>
              </w:rPr>
              <w:t xml:space="preserve">Fans</w:t>
            </w:r>
            <w:r>
              <w:t xml:space="preserve">), (</w:t>
            </w:r>
            <w:r>
              <w:rPr>
                <w:rStyle w:val="VerbatimChar"/>
              </w:rPr>
              <w:t xml:space="preserve">Thermal</w:t>
            </w:r>
            <w:r>
              <w:t xml:space="preserve">,</w:t>
            </w:r>
            <w:r>
              <w:t xml:space="preserve"> </w:t>
            </w:r>
            <w:r>
              <w:rPr>
                <w:rStyle w:val="VerbatimChar"/>
              </w:rPr>
              <w:t xml:space="preserve">Temperatures</w:t>
            </w:r>
            <w:r>
              <w:t xml:space="preserve">)</w:t>
            </w:r>
          </w:p>
        </w:tc>
        <w:tc>
          <w:tcPr>
            <w:tcW w:type="dxa" w:w="2501"/>
          </w:tcPr>
          <w:p>
            <w:pPr>
              <w:pStyle w:val="TableText"/>
              <w:jc w:val="left"/>
            </w:pPr>
            <w:r>
              <w:t xml:space="preserve">for</w:t>
            </w:r>
            <w:r>
              <w:t xml:space="preserve"> </w:t>
            </w:r>
            <w:r>
              <w:rPr>
                <w:rStyle w:val="VerbatimChar"/>
              </w:rPr>
              <w:t xml:space="preserve">Sensor</w:t>
            </w:r>
            <w:r>
              <w:t xml:space="preserve">:</w:t>
            </w:r>
            <w:r>
              <w:t xml:space="preserve"> </w:t>
            </w:r>
            <w:r>
              <w:rPr>
                <w:rStyle w:val="VerbatimChar"/>
              </w:rPr>
              <w:t xml:space="preserve">ReadingType</w:t>
            </w:r>
            <w:r>
              <w:t xml:space="preserve"> </w:t>
            </w:r>
            <w:r>
              <w:t xml:space="preserve">is</w:t>
            </w:r>
            <w:r>
              <w:t xml:space="preserve"> </w:t>
            </w:r>
            <w:r>
              <w:rPr>
                <w:rStyle w:val="VerbatimChar"/>
              </w:rPr>
              <w:t xml:space="preserve">Temperature</w:t>
            </w:r>
          </w:p>
        </w:tc>
      </w:tr>
    </w:tbl>
    <w:p>
      <w:pPr>
        <w:pStyle w:val="BodyText"/>
      </w:pPr>
      <w:r>
        <w:rPr>
          <w:bCs/>
          <w:b/>
        </w:rPr>
        <w:t xml:space="preserve">Scope.</w:t>
      </w:r>
      <w:r>
        <w:t xml:space="preserve"> </w:t>
      </w:r>
      <w:r>
        <w:t xml:space="preserve">The tool monitors the host, not the BMC itself. Resources</w:t>
      </w:r>
      <w:r>
        <w:t xml:space="preserve"> </w:t>
      </w:r>
      <w:r>
        <w:t xml:space="preserve">below</w:t>
      </w:r>
      <w:r>
        <w:t xml:space="preserve"> </w:t>
      </w:r>
      <w:r>
        <w:rPr>
          <w:rStyle w:val="VerbatimChar"/>
        </w:rPr>
        <w:t xml:space="preserve">Managers</w:t>
      </w:r>
      <w:r>
        <w:t xml:space="preserve"> </w:t>
      </w:r>
      <w:r>
        <w:t xml:space="preserve">(the BMC’s own Ethernet interfaces, logs and accounts) are</w:t>
      </w:r>
      <w:r>
        <w:t xml:space="preserve"> </w:t>
      </w:r>
      <w:r>
        <w:t xml:space="preserve">excluded by a set</w:t>
      </w:r>
      <w:r>
        <w:t xml:space="preserve"> </w:t>
      </w:r>
      <m:oMath>
        <m:r>
          <m:t>X</m:t>
        </m:r>
        <m:r>
          <m:rPr>
            <m:sty m:val="p"/>
          </m:rPr>
          <m:t>=</m:t>
        </m:r>
        <m:r>
          <m:rPr>
            <m:sty m:val="p"/>
          </m:rPr>
          <m:t>{</m:t>
        </m:r>
        <m:r>
          <m:rPr>
            <m:nor/>
          </m:rPr>
          <m:t>ManagerCollection</m:t>
        </m:r>
        <m:r>
          <m:rPr>
            <m:sty m:val="p"/>
          </m:rPr>
          <m:t>,</m:t>
        </m:r>
        <m:r>
          <m:rPr>
            <m:nor/>
          </m:rPr>
          <m:t>Manager</m:t>
        </m:r>
        <m:r>
          <m:rPr>
            <m:sty m:val="p"/>
          </m:rPr>
          <m:t>}</m:t>
        </m:r>
      </m:oMath>
      <w:r>
        <w:t xml:space="preserve"> </w:t>
      </w:r>
      <w:r>
        <w:t xml:space="preserve">of</w:t>
      </w:r>
      <w:r>
        <w:t xml:space="preserve"> </w:t>
      </w:r>
      <w:r>
        <w:rPr>
          <w:iCs/>
          <w:i/>
        </w:rPr>
        <w:t xml:space="preserve">excluded types</w:t>
      </w:r>
      <w:r>
        <w:t xml:space="preserve"> </w:t>
      </w:r>
      <w:r>
        <w:t xml:space="preserve">whose subtrees are not entered.</w:t>
      </w:r>
    </w:p>
    <w:p>
      <w:pPr>
        <w:pStyle w:val="BodyText"/>
      </w:pPr>
      <w:r>
        <w:rPr>
          <w:bCs/>
          <w:b/>
        </w:rPr>
        <w:t xml:space="preserve">Discovery problem.</w:t>
      </w:r>
      <w:r>
        <w:t xml:space="preserve"> </w:t>
      </w:r>
      <w:r>
        <w:t xml:space="preserve">Given query</w:t>
      </w:r>
      <w:r>
        <w:t xml:space="preserve"> </w:t>
      </w:r>
      <m:oMath>
        <m:r>
          <m:t>Q</m:t>
        </m:r>
      </m:oMath>
      <w:r>
        <w:t xml:space="preserve"> </w:t>
      </w:r>
      <w:r>
        <w:t xml:space="preserve">and access to</w:t>
      </w:r>
      <w:r>
        <w:t xml:space="preserve"> </w:t>
      </w:r>
      <m:oMath>
        <m:r>
          <m:t>G</m:t>
        </m:r>
      </m:oMath>
      <w:r>
        <w:t xml:space="preserve"> </w:t>
      </w:r>
      <w:r>
        <w:t xml:space="preserve">only through</w:t>
      </w:r>
      <w:r>
        <w:t xml:space="preserve"> </w:t>
      </w:r>
      <w:r>
        <w:rPr>
          <w:rStyle w:val="VerbatimChar"/>
        </w:rPr>
        <w:t xml:space="preserve">GET</w:t>
      </w:r>
      <w:r>
        <w:t xml:space="preserve"> </w:t>
      </w:r>
      <w:r>
        <w:t xml:space="preserve">requests starting at</w:t>
      </w:r>
      <w:r>
        <w:t xml:space="preserve"> </w:t>
      </w:r>
      <m:oMath>
        <m:r>
          <m:t>r</m:t>
        </m:r>
      </m:oMath>
      <w:r>
        <w:t xml:space="preserve">, compute</w:t>
      </w:r>
      <w:r>
        <w:t xml:space="preserve"> </w:t>
      </w:r>
      <m:oMath>
        <m:sSub>
          <m:e>
            <m:r>
              <m:rPr>
                <m:scr m:val="script"/>
                <m:sty m:val="p"/>
              </m:rPr>
              <m:t>A</m:t>
            </m:r>
          </m:e>
          <m:sub>
            <m:r>
              <m:t>Q</m:t>
            </m:r>
          </m:sub>
        </m:sSub>
        <m:d>
          <m:dPr>
            <m:begChr m:val="("/>
            <m:sepChr m:val=""/>
            <m:endChr m:val=")"/>
            <m:grow/>
          </m:dPr>
          <m:e>
            <m:r>
              <m:t>G</m:t>
            </m:r>
          </m:e>
        </m:d>
      </m:oMath>
      <w:r>
        <w:t xml:space="preserve"> </w:t>
      </w:r>
      <w:r>
        <w:t xml:space="preserve">while</w:t>
      </w:r>
      <w:r>
        <w:t xml:space="preserve"> </w:t>
      </w:r>
      <w:r>
        <w:t xml:space="preserve">minimising the number of requests</w:t>
      </w:r>
    </w:p>
    <w:p>
      <w:pPr>
        <w:tabs>
          <w:tab w:val="center" w:pos="4309"/>
          <w:tab w:val="right" w:pos="8618"/>
        </w:tabs>
        <w:spacing w:before="120" w:after="120"/>
      </w:pPr>
      <w:r>
        <w:tab/>
      </w:r>
      <m:oMath>
        <m:r>
          <m:t>C</m:t>
        </m:r>
        <m:r>
          <m:rPr>
            <m:sty m:val="p"/>
          </m:rPr>
          <m:t>=</m:t>
        </m:r>
        <m:d>
          <m:dPr>
            <m:begChr m:val="|"/>
            <m:sepChr m:val=""/>
            <m:endChr m:val="|"/>
            <m:grow/>
          </m:dPr>
          <m:e>
            <m:r>
              <m:rPr>
                <m:sty m:val="p"/>
              </m:rPr>
              <m:t>{</m:t>
            </m:r>
            <m:r>
              <m:t>v</m:t>
            </m:r>
            <m:r>
              <m:rPr>
                <m:sty m:val="p"/>
              </m:rPr>
              <m:t>∈</m:t>
            </m:r>
            <m:r>
              <m:t>V</m:t>
            </m:r>
            <m:r>
              <m:rPr>
                <m:sty m:val="p"/>
              </m:rPr>
              <m:t>:</m:t>
            </m:r>
            <m:r>
              <m:t>v</m:t>
            </m:r>
            <m:r>
              <m:rPr>
                <m:nor/>
              </m:rPr>
              <m:t> is fetched</m:t>
            </m:r>
            <m:r>
              <m:rPr>
                <m:sty m:val="p"/>
              </m:rPr>
              <m:t>}</m:t>
            </m:r>
          </m:e>
        </m:d>
      </m:oMath>
      <w:r>
        <w:tab/>
        <w:t>(4.7)</w:t>
      </w:r>
    </w:p>
    <w:p>
      <w:pPr>
        <w:pStyle w:val="FirstParagraph"/>
      </w:pPr>
      <w:r>
        <w:t xml:space="preserve">Because</w:t>
      </w:r>
      <w:r>
        <w:t xml:space="preserve"> </w:t>
      </w:r>
      <m:oMath>
        <m:r>
          <m:t>G</m:t>
        </m:r>
      </m:oMath>
      <w:r>
        <w:t xml:space="preserve"> </w:t>
      </w:r>
      <w:r>
        <w:t xml:space="preserve">is unknown in advance, every algorithm has to fetch at least the</w:t>
      </w:r>
      <w:r>
        <w:t xml:space="preserve"> </w:t>
      </w:r>
      <w:r>
        <w:t xml:space="preserve">resources that contain the answer and one path of ancestors to each of them. An</w:t>
      </w:r>
      <w:r>
        <w:t xml:space="preserve"> </w:t>
      </w:r>
      <w:r>
        <w:t xml:space="preserve">exhaustive traversal of</w:t>
      </w:r>
      <w:r>
        <w:t xml:space="preserve"> </w:t>
      </w:r>
      <m:oMath>
        <m:sSub>
          <m:e>
            <m:r>
              <m:t>G</m:t>
            </m:r>
          </m:e>
          <m:sub>
            <m:r>
              <m:t>c</m:t>
            </m:r>
          </m:sub>
        </m:sSub>
      </m:oMath>
      <w:r>
        <w:t xml:space="preserve"> </w:t>
      </w:r>
      <w:r>
        <w:t xml:space="preserve">fetches all of</w:t>
      </w:r>
      <w:r>
        <w:t xml:space="preserve"> </w:t>
      </w:r>
      <m:oMath>
        <m:sSub>
          <m:e>
            <m:r>
              <m:t>V</m:t>
            </m:r>
          </m:e>
          <m:sub>
            <m:r>
              <m:t>c</m:t>
            </m:r>
          </m:sub>
        </m:sSub>
      </m:oMath>
      <w:r>
        <w:t xml:space="preserve">, which is complete but</w:t>
      </w:r>
      <w:r>
        <w:t xml:space="preserve"> </w:t>
      </w:r>
      <w:r>
        <w:t xml:space="preserve">expensive. A hard-coded client fetches a fixed set of paths, which is cheap but</w:t>
      </w:r>
      <w:r>
        <w:t xml:space="preserve"> </w:t>
      </w:r>
      <w:r>
        <w:t xml:space="preserve">complete only for services laid out as expected.</w:t>
      </w:r>
    </w:p>
    <w:bookmarkEnd w:id="43"/>
    <w:bookmarkStart w:id="45" w:name="heterogeneity-of-redfish-services"/>
    <w:p>
      <w:pPr>
        <w:pStyle w:val="Heading2"/>
      </w:pPr>
      <w:r>
        <w:t xml:space="preserve">4.4 Heterogeneity of Redfish Services</w:t>
      </w:r>
    </w:p>
    <w:p>
      <w:pPr>
        <w:pStyle w:val="FirstParagraph"/>
      </w:pPr>
      <w:r>
        <w:t xml:space="preserve">The discovery problem is only interesting because services differ. From the</w:t>
      </w:r>
      <w:r>
        <w:t xml:space="preserve"> </w:t>
      </w:r>
      <w:r>
        <w:t xml:space="preserve">schema history and the services in Chapter 7 we distinguish five kinds of</w:t>
      </w:r>
      <w:r>
        <w:t xml:space="preserve"> </w:t>
      </w:r>
      <w:r>
        <w:t xml:space="preserve">heterogeneity. Figure 4.1 illustrates three of them with concrete</w:t>
      </w:r>
      <w:r>
        <w:t xml:space="preserve"> </w:t>
      </w:r>
      <w:r>
        <w:t xml:space="preserve">paths from three recorded services.</w:t>
      </w:r>
    </w:p>
    <w:p>
      <w:pPr>
        <w:pStyle w:val="DefinitionTerm"/>
      </w:pPr>
      <w:r>
        <w:t xml:space="preserve">H1</w:t>
      </w:r>
    </w:p>
    <w:p>
      <w:pPr>
        <w:pStyle w:val="Definition"/>
      </w:pPr>
      <w:r>
        <w:rPr>
          <w:bCs/>
          <w:b/>
        </w:rPr>
        <w:t xml:space="preserve">Identifier heterogeneity.</w:t>
      </w:r>
      <w:r>
        <w:t xml:space="preserve"> </w:t>
      </w:r>
      <w:r>
        <w:t xml:space="preserve">Member identifiers are chosen freely</w:t>
      </w:r>
      <w:r>
        <w:t xml:space="preserve"> </w:t>
      </w:r>
      <w:r>
        <w:t xml:space="preserve">(</w:t>
      </w:r>
      <w:r>
        <w:rPr>
          <w:rStyle w:val="VerbatimChar"/>
        </w:rPr>
        <w:t xml:space="preserve">1</w:t>
      </w:r>
      <w:r>
        <w:t xml:space="preserve">,</w:t>
      </w:r>
      <w:r>
        <w:t xml:space="preserve"> </w:t>
      </w:r>
      <w:r>
        <w:rPr>
          <w:rStyle w:val="VerbatimChar"/>
        </w:rPr>
        <w:t xml:space="preserve">System.Embedded.1</w:t>
      </w:r>
      <w:r>
        <w:t xml:space="preserve">,</w:t>
      </w:r>
      <w:r>
        <w:t xml:space="preserve"> </w:t>
      </w:r>
      <w:r>
        <w:rPr>
          <w:rStyle w:val="VerbatimChar"/>
        </w:rPr>
        <w:t xml:space="preserve">437XR1138R2</w:t>
      </w:r>
      <w:r>
        <w:t xml:space="preserve">,</w:t>
      </w:r>
      <w:r>
        <w:t xml:space="preserve"> </w:t>
      </w:r>
      <w:r>
        <w:rPr>
          <w:rStyle w:val="VerbatimChar"/>
        </w:rPr>
        <w:t xml:space="preserve">Self</w:t>
      </w:r>
      <w:r>
        <w:t xml:space="preserve">,</w:t>
      </w:r>
      <w:r>
        <w:t xml:space="preserve"> </w:t>
      </w:r>
      <w:r>
        <w:rPr>
          <w:rStyle w:val="VerbatimChar"/>
        </w:rPr>
        <w:t xml:space="preserve">Node0</w:t>
      </w:r>
      <w:r>
        <w:t xml:space="preserve">,</w:t>
      </w:r>
      <w:r>
        <w:t xml:space="preserve"> </w:t>
      </w:r>
      <w:r>
        <w:rPr>
          <w:rStyle w:val="VerbatimChar"/>
        </w:rPr>
        <w:t xml:space="preserve">QSBP74100021</w:t>
      </w:r>
      <w:r>
        <w:t xml:space="preserve">). Literal URIs never transfer between</w:t>
      </w:r>
      <w:r>
        <w:t xml:space="preserve"> </w:t>
      </w:r>
      <w:r>
        <w:t xml:space="preserve">vendors.</w:t>
      </w:r>
    </w:p>
    <w:p>
      <w:pPr>
        <w:pStyle w:val="DefinitionTerm"/>
      </w:pPr>
      <w:r>
        <w:t xml:space="preserve">H2</w:t>
      </w:r>
    </w:p>
    <w:p>
      <w:pPr>
        <w:pStyle w:val="Definition"/>
      </w:pPr>
      <w:r>
        <w:rPr>
          <w:bCs/>
          <w:b/>
        </w:rPr>
        <w:t xml:space="preserve">Model generation.</w:t>
      </w:r>
      <w:r>
        <w:t xml:space="preserve"> </w:t>
      </w:r>
      <w:r>
        <w:t xml:space="preserve">The same component is described by different</w:t>
      </w:r>
      <w:r>
        <w:t xml:space="preserve"> </w:t>
      </w:r>
      <w:r>
        <w:t xml:space="preserve">types in different schema generations, e.g. an embedded element of</w:t>
      </w:r>
      <w:r>
        <w:t xml:space="preserve"> </w:t>
      </w:r>
      <w:r>
        <w:rPr>
          <w:rStyle w:val="VerbatimChar"/>
        </w:rPr>
        <w:t xml:space="preserve">Power.PowerSupplies</w:t>
      </w:r>
      <w:r>
        <w:t xml:space="preserve"> </w:t>
      </w:r>
      <w:r>
        <w:t xml:space="preserve">versus a</w:t>
      </w:r>
      <w:r>
        <w:t xml:space="preserve"> </w:t>
      </w:r>
      <w:r>
        <w:rPr>
          <w:rStyle w:val="VerbatimChar"/>
        </w:rPr>
        <w:t xml:space="preserve">PowerSupply</w:t>
      </w:r>
      <w:r>
        <w:t xml:space="preserve"> </w:t>
      </w:r>
      <w:r>
        <w:t xml:space="preserve">resource below</w:t>
      </w:r>
      <w:r>
        <w:t xml:space="preserve"> </w:t>
      </w:r>
      <w:r>
        <w:rPr>
          <w:rStyle w:val="VerbatimChar"/>
        </w:rPr>
        <w:t xml:space="preserve">PowerSubsystem</w:t>
      </w:r>
      <w:r>
        <w:t xml:space="preserve">; a</w:t>
      </w:r>
      <w:r>
        <w:t xml:space="preserve"> </w:t>
      </w:r>
      <w:r>
        <w:rPr>
          <w:rStyle w:val="VerbatimChar"/>
        </w:rPr>
        <w:t xml:space="preserve">SimpleStorage</w:t>
      </w:r>
      <w:r>
        <w:t xml:space="preserve"> </w:t>
      </w:r>
      <w:r>
        <w:t xml:space="preserve">device versus a</w:t>
      </w:r>
      <w:r>
        <w:t xml:space="preserve"> </w:t>
      </w:r>
      <w:r>
        <w:rPr>
          <w:rStyle w:val="VerbatimChar"/>
        </w:rPr>
        <w:t xml:space="preserve">Drive</w:t>
      </w:r>
      <w:r>
        <w:t xml:space="preserve">.</w:t>
      </w:r>
      <w:r>
        <w:t xml:space="preserve"> </w:t>
      </w:r>
      <w:r>
        <w:t xml:space="preserve">Services may implement both generations at once.</w:t>
      </w:r>
    </w:p>
    <w:p>
      <w:pPr>
        <w:pStyle w:val="DefinitionTerm"/>
      </w:pPr>
      <w:r>
        <w:t xml:space="preserve">H3</w:t>
      </w:r>
    </w:p>
    <w:p>
      <w:pPr>
        <w:pStyle w:val="Definition"/>
      </w:pPr>
      <w:r>
        <w:rPr>
          <w:bCs/>
          <w:b/>
        </w:rPr>
        <w:t xml:space="preserve">Placement.</w:t>
      </w:r>
      <w:r>
        <w:t xml:space="preserve"> </w:t>
      </w:r>
      <w:r>
        <w:t xml:space="preserve">The standard permits several parents for the same</w:t>
      </w:r>
      <w:r>
        <w:t xml:space="preserve"> </w:t>
      </w:r>
      <w:r>
        <w:t xml:space="preserve">type. Drives are linked from</w:t>
      </w:r>
      <w:r>
        <w:t xml:space="preserve"> </w:t>
      </w:r>
      <w:r>
        <w:rPr>
          <w:rStyle w:val="VerbatimChar"/>
        </w:rPr>
        <w:t xml:space="preserve">Storage</w:t>
      </w:r>
      <w:r>
        <w:t xml:space="preserve">, from</w:t>
      </w:r>
      <w:r>
        <w:t xml:space="preserve"> </w:t>
      </w:r>
      <w:r>
        <w:rPr>
          <w:rStyle w:val="VerbatimChar"/>
        </w:rPr>
        <w:t xml:space="preserve">Chassis</w:t>
      </w:r>
      <w:r>
        <w:t xml:space="preserve"> </w:t>
      </w:r>
      <w:r>
        <w:t xml:space="preserve">or from a</w:t>
      </w:r>
      <w:r>
        <w:t xml:space="preserve"> </w:t>
      </w:r>
      <w:r>
        <w:t xml:space="preserve">composition</w:t>
      </w:r>
      <w:r>
        <w:t xml:space="preserve"> </w:t>
      </w:r>
      <w:r>
        <w:rPr>
          <w:rStyle w:val="VerbatimChar"/>
        </w:rPr>
        <w:t xml:space="preserve">ResourceBlock</w:t>
      </w:r>
      <w:r>
        <w:t xml:space="preserve">; network adapters are found below</w:t>
      </w:r>
      <w:r>
        <w:t xml:space="preserve"> </w:t>
      </w:r>
      <w:r>
        <w:rPr>
          <w:rStyle w:val="VerbatimChar"/>
        </w:rPr>
        <w:t xml:space="preserve">Chassis</w:t>
      </w:r>
      <w:r>
        <w:t xml:space="preserve">, Ethernet interfaces below</w:t>
      </w:r>
      <w:r>
        <w:t xml:space="preserve"> </w:t>
      </w:r>
      <w:r>
        <w:rPr>
          <w:rStyle w:val="VerbatimChar"/>
        </w:rPr>
        <w:t xml:space="preserve">ComputerSystem</w:t>
      </w:r>
      <w:r>
        <w:t xml:space="preserve">.</w:t>
      </w:r>
    </w:p>
    <w:p>
      <w:pPr>
        <w:pStyle w:val="DefinitionTerm"/>
      </w:pPr>
      <w:r>
        <w:t xml:space="preserve">H4</w:t>
      </w:r>
    </w:p>
    <w:p>
      <w:pPr>
        <w:pStyle w:val="Definition"/>
      </w:pPr>
      <w:r>
        <w:rPr>
          <w:bCs/>
          <w:b/>
        </w:rPr>
        <w:t xml:space="preserve">Optional features.</w:t>
      </w:r>
      <w:r>
        <w:t xml:space="preserve"> </w:t>
      </w:r>
      <w:r>
        <w:rPr>
          <w:rStyle w:val="VerbatimChar"/>
        </w:rPr>
        <w:t xml:space="preserve">$expand</w:t>
      </w:r>
      <w:r>
        <w:t xml:space="preserve">,</w:t>
      </w:r>
      <w:r>
        <w:t xml:space="preserve"> </w:t>
      </w:r>
      <w:r>
        <w:rPr>
          <w:rStyle w:val="VerbatimChar"/>
        </w:rPr>
        <w:t xml:space="preserve">$select</w:t>
      </w:r>
      <w:r>
        <w:t xml:space="preserve"> </w:t>
      </w:r>
      <w:r>
        <w:t xml:space="preserve">and</w:t>
      </w:r>
      <w:r>
        <w:t xml:space="preserve"> </w:t>
      </w:r>
      <w:r>
        <w:rPr>
          <w:rStyle w:val="VerbatimChar"/>
        </w:rPr>
        <w:t xml:space="preserve">$filter</w:t>
      </w:r>
      <w:r>
        <w:t xml:space="preserve"> </w:t>
      </w:r>
      <w:r>
        <w:t xml:space="preserve">are optional, so a client cannot rely on server-side</w:t>
      </w:r>
      <w:r>
        <w:t xml:space="preserve"> </w:t>
      </w:r>
      <w:r>
        <w:t xml:space="preserve">query evaluation to find resources.</w:t>
      </w:r>
    </w:p>
    <w:p>
      <w:pPr>
        <w:pStyle w:val="DefinitionTerm"/>
      </w:pPr>
      <w:r>
        <w:t xml:space="preserve">H5</w:t>
      </w:r>
    </w:p>
    <w:p>
      <w:pPr>
        <w:pStyle w:val="Definition"/>
      </w:pPr>
      <w:r>
        <w:rPr>
          <w:bCs/>
          <w:b/>
        </w:rPr>
        <w:t xml:space="preserve">Vendor extensions and defects.</w:t>
      </w:r>
      <w:r>
        <w:t xml:space="preserve"> </w:t>
      </w:r>
      <w:r>
        <w:t xml:space="preserve">OEM subtrees, resources without</w:t>
      </w:r>
      <w:r>
        <w:t xml:space="preserve"> </w:t>
      </w:r>
      <w:r>
        <w:rPr>
          <w:rStyle w:val="VerbatimChar"/>
        </w:rPr>
        <w:t xml:space="preserve">@odata.type</w:t>
      </w:r>
      <w:r>
        <w:t xml:space="preserve">, and links placed outside the standard’s</w:t>
      </w:r>
      <w:r>
        <w:t xml:space="preserve"> </w:t>
      </w:r>
      <w:r>
        <w:t xml:space="preserve">navigation properties.</w:t>
      </w:r>
    </w:p>
    <w:p>
      <w:pPr>
        <w:pStyle w:val="CaptionedFigure"/>
      </w:pPr>
      <w:r>
        <w:drawing>
          <wp:inline>
            <wp:extent cx="5334000" cy="1926922"/>
            <wp:effectExtent b="0" l="0" r="0" t="0"/>
            <wp:docPr descr="Figure 4.1: Placement of power supplies and drives in three recorded services (paths abridged; only relevant branches shown). Solid blue boxes are target resources, dashed boxes are embedded array elements. The same query must match all of them." title="" id="1" name="Picture"/>
            <a:graphic>
              <a:graphicData uri="http://schemas.openxmlformats.org/drawingml/2006/picture">
                <pic:pic>
                  <pic:nvPicPr>
                    <pic:cNvPr descr="img/fig_placements.png" id="0" name="Picture"/>
                    <pic:cNvPicPr>
                      <a:picLocks noChangeArrowheads="1" noChangeAspect="1"/>
                    </pic:cNvPicPr>
                  </pic:nvPicPr>
                  <pic:blipFill>
                    <a:blip r:embed="rId44"/>
                    <a:stretch>
                      <a:fillRect/>
                    </a:stretch>
                  </pic:blipFill>
                  <pic:spPr bwMode="auto">
                    <a:xfrm>
                      <a:off x="0" y="0"/>
                      <a:ext cx="5334000" cy="1926922"/>
                    </a:xfrm>
                    <a:prstGeom prst="rect">
                      <a:avLst/>
                    </a:prstGeom>
                    <a:noFill/>
                    <a:ln w="9525">
                      <a:noFill/>
                      <a:headEnd/>
                      <a:tailEnd/>
                    </a:ln>
                  </pic:spPr>
                </pic:pic>
              </a:graphicData>
            </a:graphic>
          </wp:inline>
        </w:drawing>
      </w:r>
    </w:p>
    <w:p>
      <w:pPr>
        <w:pStyle w:val="ImageCaption"/>
      </w:pPr>
      <w:r>
        <w:t xml:space="preserve">Figure 4.1: Placement of</w:t>
      </w:r>
      <w:r>
        <w:t xml:space="preserve"> </w:t>
      </w:r>
      <w:r>
        <w:t xml:space="preserve">power supplies and drives in three recorded services (paths abridged; only</w:t>
      </w:r>
      <w:r>
        <w:t xml:space="preserve"> </w:t>
      </w:r>
      <w:r>
        <w:t xml:space="preserve">relevant branches shown). Solid blue boxes are target resources, dashed boxes</w:t>
      </w:r>
      <w:r>
        <w:t xml:space="preserve"> </w:t>
      </w:r>
      <w:r>
        <w:t xml:space="preserve">are embedded array elements. The same query must match all of them.</w:t>
      </w:r>
    </w:p>
    <w:p>
      <w:pPr>
        <w:pStyle w:val="BodyText"/>
      </w:pPr>
      <w:r>
        <w:t xml:space="preserve">H1 and H4 exclude the naive solutions (literal URIs, server-side filters). H2 and</w:t>
      </w:r>
      <w:r>
        <w:t xml:space="preserve"> </w:t>
      </w:r>
      <w:r>
        <w:t xml:space="preserve">H3 are what defeats hard-coded navigation, and they are the focus of this thesis.</w:t>
      </w:r>
      <w:r>
        <w:t xml:space="preserve"> </w:t>
      </w:r>
      <w:r>
        <w:t xml:space="preserve">H5 is the reason why a discovery algorithm must degrade gracefully when the</w:t>
      </w:r>
      <w:r>
        <w:t xml:space="preserve"> </w:t>
      </w:r>
      <w:r>
        <w:t xml:space="preserve">schema cannot tell it what a link means.</w:t>
      </w:r>
    </w:p>
    <w:bookmarkEnd w:id="45"/>
    <w:bookmarkEnd w:id="46"/>
    <w:bookmarkStart w:id="58" w:name="schema-guided-breadth-first-discovery"/>
    <w:p>
      <w:pPr>
        <w:pStyle w:val="Heading1"/>
      </w:pPr>
      <w:r>
        <w:t xml:space="preserve">5 Schema-Guided Breadth-First Discovery</w:t>
      </w:r>
    </w:p>
    <w:p>
      <w:pPr>
        <w:pStyle w:val="FirstParagraph"/>
      </w:pPr>
      <w:r>
        <w:t xml:space="preserve">This chapter presents the discovery method. Section 5.1 gives an</w:t>
      </w:r>
      <w:r>
        <w:t xml:space="preserve"> </w:t>
      </w:r>
      <w:r>
        <w:t xml:space="preserve">overview, Section 5.2 constructs the type reachability graph from the</w:t>
      </w:r>
      <w:r>
        <w:t xml:space="preserve"> </w:t>
      </w:r>
      <w:r>
        <w:t xml:space="preserve">Redfish schema, Section 5.3 states the schema-pruned BFS algorithm, and</w:t>
      </w:r>
      <w:r>
        <w:t xml:space="preserve"> </w:t>
      </w:r>
      <w:r>
        <w:t xml:space="preserve">Sections 5.4, 5.5 and 5.6 analyse its correctness, cost and</w:t>
      </w:r>
      <w:r>
        <w:t xml:space="preserve"> </w:t>
      </w:r>
      <w:r>
        <w:t xml:space="preserve">parallelism. Section 5.7 embeds the algorithm into a monitoring loop.</w:t>
      </w:r>
    </w:p>
    <w:bookmarkStart w:id="48" w:name="overview"/>
    <w:p>
      <w:pPr>
        <w:pStyle w:val="Heading2"/>
      </w:pPr>
      <w:r>
        <w:t xml:space="preserve">5.1 Overview</w:t>
      </w:r>
    </w:p>
    <w:p>
      <w:pPr>
        <w:pStyle w:val="FirstParagraph"/>
      </w:pPr>
      <w:r>
        <w:t xml:space="preserve">The starting point is the plain idea behind the author’s monitoring tool:</w:t>
      </w:r>
      <w:r>
        <w:t xml:space="preserve"> </w:t>
      </w:r>
      <w:r>
        <w:t xml:space="preserve">convert the service into a tree by following links from</w:t>
      </w:r>
      <w:r>
        <w:t xml:space="preserve"> </w:t>
      </w:r>
      <w:r>
        <w:rPr>
          <w:rStyle w:val="VerbatimChar"/>
        </w:rPr>
        <w:t xml:space="preserve">/redfish/v1</w:t>
      </w:r>
      <w:r>
        <w:t xml:space="preserve">, and</w:t>
      </w:r>
      <w:r>
        <w:t xml:space="preserve"> </w:t>
      </w:r>
      <w:r>
        <w:t xml:space="preserve">find the requested resources by BFS, testing the</w:t>
      </w:r>
      <w:r>
        <w:t xml:space="preserve"> </w:t>
      </w:r>
      <w:r>
        <w:rPr>
          <w:rStyle w:val="VerbatimChar"/>
        </w:rPr>
        <w:t xml:space="preserve">@odata.type</w:t>
      </w:r>
      <w:r>
        <w:t xml:space="preserve"> </w:t>
      </w:r>
      <w:r>
        <w:t xml:space="preserve">of every node.</w:t>
      </w:r>
      <w:r>
        <w:t xml:space="preserve"> </w:t>
      </w:r>
      <w:r>
        <w:t xml:space="preserve">We call this</w:t>
      </w:r>
      <w:r>
        <w:t xml:space="preserve"> </w:t>
      </w:r>
      <w:r>
        <w:rPr>
          <w:iCs/>
          <w:i/>
        </w:rPr>
        <w:t xml:space="preserve">Tree-BFS</w:t>
      </w:r>
      <w:r>
        <w:t xml:space="preserve">. It needs no vendor knowledge, and by</w:t>
      </w:r>
      <w:r>
        <w:t xml:space="preserve"> </w:t>
      </w:r>
      <w:r>
        <w:t xml:space="preserve">construction it finds every target reachable over containment edges. Its</w:t>
      </w:r>
      <w:r>
        <w:t xml:space="preserve"> </w:t>
      </w:r>
      <w:r>
        <w:t xml:space="preserve">weakness is cost: it fetches the entire containment tree, including thousands</w:t>
      </w:r>
      <w:r>
        <w:t xml:space="preserve"> </w:t>
      </w:r>
      <w:r>
        <w:t xml:space="preserve">of log entries, schema files and registry entries that can never contain a</w:t>
      </w:r>
      <w:r>
        <w:t xml:space="preserve"> </w:t>
      </w:r>
      <w:r>
        <w:t xml:space="preserve">power supply.</w:t>
      </w:r>
    </w:p>
    <w:p>
      <w:pPr>
        <w:pStyle w:val="BodyText"/>
      </w:pPr>
      <w:r>
        <w:t xml:space="preserve">The key observation is that the client does not have to fetch a resource to</w:t>
      </w:r>
      <w:r>
        <w:t xml:space="preserve"> </w:t>
      </w:r>
      <w:r>
        <w:t xml:space="preserve">know that nothing interesting can lie below it. The Redfish schema states, for</w:t>
      </w:r>
      <w:r>
        <w:t xml:space="preserve"> </w:t>
      </w:r>
      <w:r>
        <w:t xml:space="preserve">every resource type and every navigation property, which types the property can</w:t>
      </w:r>
      <w:r>
        <w:t xml:space="preserve"> </w:t>
      </w:r>
      <w:r>
        <w:t xml:space="preserve">point to. The client can therefore decide from the parent’s type and the</w:t>
      </w:r>
      <w:r>
        <w:t xml:space="preserve"> </w:t>
      </w:r>
      <w:r>
        <w:t xml:space="preserve">property name alone whether a link can lead to a target. The resulting</w:t>
      </w:r>
      <w:r>
        <w:t xml:space="preserve"> </w:t>
      </w:r>
      <w:r>
        <w:t xml:space="preserve">algorithm,</w:t>
      </w:r>
      <w:r>
        <w:t xml:space="preserve"> </w:t>
      </w:r>
      <w:r>
        <w:rPr>
          <w:iCs/>
          <w:i/>
        </w:rPr>
        <w:t xml:space="preserve">schema-pruned BFS</w:t>
      </w:r>
      <w:r>
        <w:t xml:space="preserve"> </w:t>
      </w:r>
      <w:r>
        <w:t xml:space="preserve">(SP-BFS), has two phases:</w:t>
      </w:r>
    </w:p>
    <w:p>
      <w:pPr>
        <w:numPr>
          <w:ilvl w:val="0"/>
          <w:numId w:val="1005"/>
        </w:numPr>
      </w:pPr>
      <w:r>
        <w:rPr>
          <w:bCs/>
          <w:b/>
        </w:rPr>
        <w:t xml:space="preserve">Offline:</w:t>
      </w:r>
      <w:r>
        <w:t xml:space="preserve"> </w:t>
      </w:r>
      <w:r>
        <w:t xml:space="preserve">build a type graph</w:t>
      </w:r>
      <w:r>
        <w:t xml:space="preserve"> </w:t>
      </w:r>
      <m:oMath>
        <m:r>
          <m:t>H</m:t>
        </m:r>
      </m:oMath>
      <w:r>
        <w:t xml:space="preserve"> </w:t>
      </w:r>
      <w:r>
        <w:t xml:space="preserve">from the DMTF JSON Schema</w:t>
      </w:r>
      <w:r>
        <w:t xml:space="preserve"> </w:t>
      </w:r>
      <w:r>
        <w:t xml:space="preserve">bundle and precompute reachability (Algorithm 1). This is</w:t>
      </w:r>
      <w:r>
        <w:t xml:space="preserve"> </w:t>
      </w:r>
      <w:r>
        <w:t xml:space="preserve">done once per schema bundle and is independent of any service.</w:t>
      </w:r>
    </w:p>
    <w:p>
      <w:pPr>
        <w:numPr>
          <w:ilvl w:val="0"/>
          <w:numId w:val="1005"/>
        </w:numPr>
      </w:pPr>
      <w:r>
        <w:rPr>
          <w:bCs/>
          <w:b/>
        </w:rPr>
        <w:t xml:space="preserve">Online:</w:t>
      </w:r>
      <w:r>
        <w:t xml:space="preserve"> </w:t>
      </w:r>
      <w:r>
        <w:t xml:space="preserve">run BFS from the service root, evaluating the queries</w:t>
      </w:r>
      <w:r>
        <w:t xml:space="preserve"> </w:t>
      </w:r>
      <w:r>
        <w:t xml:space="preserve">on each fetched body and enqueuing only those links whose possible</w:t>
      </w:r>
      <w:r>
        <w:t xml:space="preserve"> </w:t>
      </w:r>
      <w:r>
        <w:t xml:space="preserve">target types can reach an anchor type of some query (Algorithm 2).</w:t>
      </w:r>
    </w:p>
    <w:p>
      <w:pPr>
        <w:pStyle w:val="FirstParagraph"/>
      </w:pPr>
      <w:r>
        <w:t xml:space="preserve">Figure 5.1 illustrates the effect on the upper levels of a service:</w:t>
      </w:r>
      <w:r>
        <w:t xml:space="preserve"> </w:t>
      </w:r>
      <w:r>
        <w:t xml:space="preserve">all service-level branches except</w:t>
      </w:r>
      <w:r>
        <w:t xml:space="preserve"> </w:t>
      </w:r>
      <w:r>
        <w:rPr>
          <w:rStyle w:val="VerbatimChar"/>
        </w:rPr>
        <w:t xml:space="preserve">Systems</w:t>
      </w:r>
      <w:r>
        <w:t xml:space="preserve">,</w:t>
      </w:r>
      <w:r>
        <w:t xml:space="preserve"> </w:t>
      </w:r>
      <w:r>
        <w:rPr>
          <w:rStyle w:val="VerbatimChar"/>
        </w:rPr>
        <w:t xml:space="preserve">Chassis</w:t>
      </w:r>
      <w:r>
        <w:t xml:space="preserve"> </w:t>
      </w:r>
      <w:r>
        <w:t xml:space="preserve">and</w:t>
      </w:r>
      <w:r>
        <w:t xml:space="preserve"> </w:t>
      </w:r>
      <w:r>
        <w:rPr>
          <w:rStyle w:val="VerbatimChar"/>
        </w:rPr>
        <w:t xml:space="preserve">CompositionService</w:t>
      </w:r>
      <w:r>
        <w:t xml:space="preserve"> </w:t>
      </w:r>
      <w:r>
        <w:t xml:space="preserve">are pruned at the service root, and below a system or</w:t>
      </w:r>
      <w:r>
        <w:t xml:space="preserve"> </w:t>
      </w:r>
      <w:r>
        <w:t xml:space="preserve">chassis only the branches that can lead to a monitored type survive.</w:t>
      </w:r>
    </w:p>
    <w:p>
      <w:pPr>
        <w:pStyle w:val="CaptionedFigure"/>
      </w:pPr>
      <w:r>
        <w:drawing>
          <wp:inline>
            <wp:extent cx="5334000" cy="1635760"/>
            <wp:effectExtent b="0" l="0" r="0" t="0"/>
            <wp:docPr descr="Figure 5.1: Schema pruning on the upper levels of a service for the six queries of Table 4.1 (intermediate collection resources omitted). Blue nodes are expanded, green nodes hold anchor types, and dashed grey branches are pruned before any request is sent because no anchor type is reachable from them in the type graph H." title="" id="1" name="Picture"/>
            <a:graphic>
              <a:graphicData uri="http://schemas.openxmlformats.org/drawingml/2006/picture">
                <pic:pic>
                  <pic:nvPicPr>
                    <pic:cNvPr descr="img/fig_typegraph.png" id="0" name="Picture"/>
                    <pic:cNvPicPr>
                      <a:picLocks noChangeArrowheads="1" noChangeAspect="1"/>
                    </pic:cNvPicPr>
                  </pic:nvPicPr>
                  <pic:blipFill>
                    <a:blip r:embed="rId47"/>
                    <a:stretch>
                      <a:fillRect/>
                    </a:stretch>
                  </pic:blipFill>
                  <pic:spPr bwMode="auto">
                    <a:xfrm>
                      <a:off x="0" y="0"/>
                      <a:ext cx="5334000" cy="1635760"/>
                    </a:xfrm>
                    <a:prstGeom prst="rect">
                      <a:avLst/>
                    </a:prstGeom>
                    <a:noFill/>
                    <a:ln w="9525">
                      <a:noFill/>
                      <a:headEnd/>
                      <a:tailEnd/>
                    </a:ln>
                  </pic:spPr>
                </pic:pic>
              </a:graphicData>
            </a:graphic>
          </wp:inline>
        </w:drawing>
      </w:r>
    </w:p>
    <w:p>
      <w:pPr>
        <w:pStyle w:val="ImageCaption"/>
      </w:pPr>
      <w:r>
        <w:t xml:space="preserve">Figure 5.1: Schema pruning on the</w:t>
      </w:r>
      <w:r>
        <w:t xml:space="preserve"> </w:t>
      </w:r>
      <w:r>
        <w:t xml:space="preserve">upper levels of a service for the six queries of Table 4.1</w:t>
      </w:r>
      <w:r>
        <w:t xml:space="preserve"> </w:t>
      </w:r>
      <w:r>
        <w:t xml:space="preserve">(intermediate collection resources omitted). Blue nodes are expanded, green</w:t>
      </w:r>
      <w:r>
        <w:t xml:space="preserve"> </w:t>
      </w:r>
      <w:r>
        <w:t xml:space="preserve">nodes hold anchor types, and dashed grey branches are</w:t>
      </w:r>
      <w:r>
        <w:t xml:space="preserve"> </w:t>
      </w:r>
      <w:r>
        <w:t xml:space="preserve">pruned before any request is sent because no anchor type is reachable from them</w:t>
      </w:r>
      <w:r>
        <w:t xml:space="preserve"> </w:t>
      </w:r>
      <w:r>
        <w:t xml:space="preserve">in the type graph</w:t>
      </w:r>
      <w:r>
        <w:t xml:space="preserve"> </w:t>
      </w:r>
      <m:oMath>
        <m:r>
          <m:t>H</m:t>
        </m:r>
      </m:oMath>
      <w:r>
        <w:t xml:space="preserve">.</w:t>
      </w:r>
    </w:p>
    <w:bookmarkEnd w:id="48"/>
    <w:bookmarkStart w:id="50" w:name="the-type-reachability-graph"/>
    <w:p>
      <w:pPr>
        <w:pStyle w:val="Heading2"/>
      </w:pPr>
      <w:r>
        <w:t xml:space="preserve">5.2 The Type Reachability Graph</w:t>
      </w:r>
    </w:p>
    <w:p>
      <w:pPr>
        <w:pStyle w:val="FirstParagraph"/>
      </w:pPr>
      <w:r>
        <w:rPr>
          <w:bCs/>
          <w:b/>
        </w:rPr>
        <w:t xml:space="preserve">Definition 5.1</w:t>
      </w:r>
      <w:r>
        <w:t xml:space="preserve"> </w:t>
      </w:r>
      <w:r>
        <w:t xml:space="preserve">(Type graph). Let</w:t>
      </w:r>
      <w:r>
        <w:t xml:space="preserve"> </w:t>
      </w:r>
      <m:oMath>
        <m:r>
          <m:rPr>
            <m:scr m:val="script"/>
            <m:sty m:val="p"/>
          </m:rPr>
          <m:t>T</m:t>
        </m:r>
      </m:oMath>
      <w:r>
        <w:t xml:space="preserve"> </w:t>
      </w:r>
      <w:r>
        <w:t xml:space="preserve">be the set of resource types defined in the schema bundle and</w:t>
      </w:r>
      <w:r>
        <w:t xml:space="preserve"> </w:t>
      </w:r>
      <m:oMath>
        <m:r>
          <m:t>Π</m:t>
        </m:r>
      </m:oMath>
      <w:r>
        <w:t xml:space="preserve"> </w:t>
      </w:r>
      <w:r>
        <w:t xml:space="preserve">the set of property names. The</w:t>
      </w:r>
      <w:r>
        <w:t xml:space="preserve"> </w:t>
      </w:r>
      <w:r>
        <w:rPr>
          <w:iCs/>
          <w:i/>
        </w:rPr>
        <w:t xml:space="preserve">type graph</w:t>
      </w:r>
      <w:r>
        <w:t xml:space="preserve"> </w:t>
      </w:r>
      <w:r>
        <w:t xml:space="preserve">is</w:t>
      </w:r>
    </w:p>
    <w:p>
      <w:pPr>
        <w:tabs>
          <w:tab w:val="center" w:pos="4309"/>
          <w:tab w:val="right" w:pos="8618"/>
        </w:tabs>
        <w:spacing w:before="120" w:after="120"/>
      </w:pPr>
      <w:r>
        <w:tab/>
      </w:r>
      <m:oMath>
        <m:r>
          <m:t>H</m:t>
        </m:r>
        <m:r>
          <m:rPr>
            <m:sty m:val="p"/>
          </m:rPr>
          <m:t>=</m:t>
        </m:r>
        <m:d>
          <m:dPr>
            <m:begChr m:val="("/>
            <m:sepChr m:val=""/>
            <m:endChr m:val=")"/>
            <m:grow/>
          </m:dPr>
          <m:e>
            <m:r>
              <m:rPr>
                <m:scr m:val="script"/>
                <m:sty m:val="p"/>
              </m:rPr>
              <m:t>T</m:t>
            </m:r>
            <m:r>
              <m:rPr>
                <m:sty m:val="p"/>
              </m:rPr>
              <m:t>,</m:t>
            </m:r>
            <m:r>
              <m:t>F</m:t>
            </m:r>
          </m:e>
        </m:d>
        <m:r>
          <m:rPr>
            <m:sty m:val="p"/>
          </m:rPr>
          <m:t>,</m:t>
        </m:r>
        <m:r>
          <m:t>  </m:t>
        </m:r>
        <m:r>
          <m:t>F</m:t>
        </m:r>
        <m:r>
          <m:rPr>
            <m:sty m:val="p"/>
          </m:rPr>
          <m:t>⊆</m:t>
        </m:r>
        <m:r>
          <m:rPr>
            <m:scr m:val="script"/>
            <m:sty m:val="p"/>
          </m:rPr>
          <m:t>T</m:t>
        </m:r>
        <m:r>
          <m:rPr>
            <m:sty m:val="p"/>
          </m:rPr>
          <m:t>×</m:t>
        </m:r>
        <m:r>
          <m:t>Π</m:t>
        </m:r>
        <m:r>
          <m:rPr>
            <m:sty m:val="p"/>
          </m:rPr>
          <m:t>×</m:t>
        </m:r>
        <m:r>
          <m:rPr>
            <m:scr m:val="script"/>
            <m:sty m:val="p"/>
          </m:rPr>
          <m:t>T</m:t>
        </m:r>
      </m:oMath>
      <w:r>
        <w:tab/>
        <w:t>(5.1)</w:t>
      </w:r>
    </w:p>
    <w:p>
      <w:pPr>
        <w:pStyle w:val="FirstParagraph"/>
      </w:pPr>
      <w:r>
        <w:t xml:space="preserve">with</w:t>
      </w:r>
      <w:r>
        <w:t xml:space="preserve"> </w:t>
      </w:r>
      <m:oMath>
        <m:d>
          <m:dPr>
            <m:begChr m:val="("/>
            <m:sepChr m:val=""/>
            <m:endChr m:val=")"/>
            <m:grow/>
          </m:dPr>
          <m:e>
            <m:r>
              <m:t>t</m:t>
            </m:r>
            <m:r>
              <m:rPr>
                <m:sty m:val="p"/>
              </m:rPr>
              <m:t>,</m:t>
            </m:r>
            <m:r>
              <m:t>p</m:t>
            </m:r>
            <m:r>
              <m:rPr>
                <m:sty m:val="p"/>
              </m:rPr>
              <m:t>,</m:t>
            </m:r>
            <m:r>
              <m:t>t</m:t>
            </m:r>
            <m:r>
              <m:rPr>
                <m:sty m:val="p"/>
              </m:rPr>
              <m:t>′</m:t>
            </m:r>
          </m:e>
        </m:d>
        <m:r>
          <m:rPr>
            <m:sty m:val="p"/>
          </m:rPr>
          <m:t>∈</m:t>
        </m:r>
        <m:r>
          <m:t>F</m:t>
        </m:r>
      </m:oMath>
      <w:r>
        <w:t xml:space="preserve"> </w:t>
      </w:r>
      <w:r>
        <w:t xml:space="preserve">if and only if</w:t>
      </w:r>
      <w:r>
        <w:t xml:space="preserve"> </w:t>
      </w:r>
      <w:r>
        <w:rPr>
          <w:iCs/>
          <w:i/>
        </w:rPr>
        <w:t xml:space="preserve">some published version</w:t>
      </w:r>
      <w:r>
        <w:t xml:space="preserve"> </w:t>
      </w:r>
      <w:r>
        <w:t xml:space="preserve">of type</w:t>
      </w:r>
      <w:r>
        <w:t xml:space="preserve"> </w:t>
      </w:r>
      <m:oMath>
        <m:r>
          <m:t>t</m:t>
        </m:r>
      </m:oMath>
      <w:r>
        <w:t xml:space="preserve"> </w:t>
      </w:r>
      <w:r>
        <w:t xml:space="preserve">declares a top-level property</w:t>
      </w:r>
      <w:r>
        <w:t xml:space="preserve"> </w:t>
      </w:r>
      <m:oMath>
        <m:r>
          <m:t>p</m:t>
        </m:r>
      </m:oMath>
      <w:r>
        <w:t xml:space="preserve">, other than</w:t>
      </w:r>
      <w:r>
        <w:t xml:space="preserve"> </w:t>
      </w:r>
      <w:r>
        <w:rPr>
          <w:rStyle w:val="VerbatimChar"/>
        </w:rPr>
        <w:t xml:space="preserve">Links</w:t>
      </w:r>
      <w:r>
        <w:t xml:space="preserve">,</w:t>
      </w:r>
      <w:r>
        <w:t xml:space="preserve"> </w:t>
      </w:r>
      <w:r>
        <w:rPr>
          <w:rStyle w:val="VerbatimChar"/>
        </w:rPr>
        <w:t xml:space="preserve">Actions</w:t>
      </w:r>
      <w:r>
        <w:t xml:space="preserve"> </w:t>
      </w:r>
      <w:r>
        <w:t xml:space="preserve">and</w:t>
      </w:r>
      <w:r>
        <w:t xml:space="preserve"> </w:t>
      </w:r>
      <w:r>
        <w:rPr>
          <w:rStyle w:val="VerbatimChar"/>
        </w:rPr>
        <w:t xml:space="preserve">Oem</w:t>
      </w:r>
      <w:r>
        <w:t xml:space="preserve">, whose JSON Schema subtree contains a reference</w:t>
      </w:r>
      <w:r>
        <w:t xml:space="preserve"> </w:t>
      </w:r>
      <w:r>
        <w:rPr>
          <w:rStyle w:val="VerbatimChar"/>
        </w:rPr>
        <w:t xml:space="preserve">$ref</w:t>
      </w:r>
      <w:r>
        <w:t xml:space="preserve"> </w:t>
      </w:r>
      <w:r>
        <w:t xml:space="preserve">to the definition of resource type</w:t>
      </w:r>
      <w:r>
        <w:t xml:space="preserve"> </w:t>
      </w:r>
      <m:oMath>
        <m:r>
          <m:t>t</m:t>
        </m:r>
        <m:r>
          <m:rPr>
            <m:sty m:val="p"/>
          </m:rPr>
          <m:t>′</m:t>
        </m:r>
      </m:oMath>
      <w:r>
        <w:t xml:space="preserve">. We write</w:t>
      </w:r>
      <w:r>
        <w:t xml:space="preserve"> </w:t>
      </w:r>
      <m:oMath>
        <m:r>
          <m:t>H</m:t>
        </m:r>
        <m:d>
          <m:dPr>
            <m:begChr m:val="("/>
            <m:sepChr m:val=""/>
            <m:endChr m:val=")"/>
            <m:grow/>
          </m:dPr>
          <m:e>
            <m:r>
              <m:t>t</m:t>
            </m:r>
            <m:r>
              <m:rPr>
                <m:sty m:val="p"/>
              </m:rPr>
              <m:t>,</m:t>
            </m:r>
            <m:r>
              <m:t>p</m:t>
            </m:r>
          </m:e>
        </m:d>
        <m:r>
          <m:rPr>
            <m:sty m:val="p"/>
          </m:rPr>
          <m:t>=</m:t>
        </m:r>
        <m:r>
          <m:rPr>
            <m:sty m:val="p"/>
          </m:rPr>
          <m:t>{</m:t>
        </m:r>
        <m:r>
          <m:t>t</m:t>
        </m:r>
        <m:r>
          <m:rPr>
            <m:sty m:val="p"/>
          </m:rPr>
          <m:t>′</m:t>
        </m:r>
        <m:r>
          <m:rPr>
            <m:sty m:val="p"/>
          </m:rPr>
          <m:t>:</m:t>
        </m:r>
        <m:d>
          <m:dPr>
            <m:begChr m:val="("/>
            <m:sepChr m:val=""/>
            <m:endChr m:val=")"/>
            <m:grow/>
          </m:dPr>
          <m:e>
            <m:r>
              <m:t>t</m:t>
            </m:r>
            <m:r>
              <m:rPr>
                <m:sty m:val="p"/>
              </m:rPr>
              <m:t>,</m:t>
            </m:r>
            <m:r>
              <m:t>p</m:t>
            </m:r>
            <m:r>
              <m:rPr>
                <m:sty m:val="p"/>
              </m:rPr>
              <m:t>,</m:t>
            </m:r>
            <m:r>
              <m:t>t</m:t>
            </m:r>
            <m:r>
              <m:rPr>
                <m:sty m:val="p"/>
              </m:rPr>
              <m:t>′</m:t>
            </m:r>
          </m:e>
        </m:d>
        <m:r>
          <m:rPr>
            <m:sty m:val="p"/>
          </m:rPr>
          <m:t>∈</m:t>
        </m:r>
        <m:r>
          <m:t>F</m:t>
        </m:r>
        <m:r>
          <m:rPr>
            <m:sty m:val="p"/>
          </m:rPr>
          <m:t>}</m:t>
        </m:r>
      </m:oMath>
      <w:r>
        <w:t xml:space="preserve"> </w:t>
      </w:r>
      <w:r>
        <w:t xml:space="preserve">for the</w:t>
      </w:r>
      <w:r>
        <w:t xml:space="preserve"> </w:t>
      </w:r>
      <w:r>
        <w:rPr>
          <w:iCs/>
          <w:i/>
        </w:rPr>
        <w:t xml:space="preserve">possible targets</w:t>
      </w:r>
      <w:r>
        <w:t xml:space="preserve"> </w:t>
      </w:r>
      <w:r>
        <w:t xml:space="preserve">of</w:t>
      </w:r>
      <w:r>
        <w:t xml:space="preserve"> </w:t>
      </w:r>
      <w:r>
        <w:t xml:space="preserve">property</w:t>
      </w:r>
      <w:r>
        <w:t xml:space="preserve"> </w:t>
      </w:r>
      <m:oMath>
        <m:r>
          <m:t>p</m:t>
        </m:r>
      </m:oMath>
      <w:r>
        <w:t xml:space="preserve"> </w:t>
      </w:r>
      <w:r>
        <w:t xml:space="preserve">of type</w:t>
      </w:r>
      <w:r>
        <w:t xml:space="preserve"> </w:t>
      </w:r>
      <m:oMath>
        <m:r>
          <m:t>t</m:t>
        </m:r>
      </m:oMath>
      <w:r>
        <w:t xml:space="preserve">, and</w:t>
      </w:r>
      <w:r>
        <w:t xml:space="preserve"> </w:t>
      </w:r>
      <m:oMath>
        <m:r>
          <m:rPr>
            <m:sty m:val="p"/>
          </m:rPr>
          <m:t>D</m:t>
        </m:r>
        <m:r>
          <m:rPr>
            <m:sty m:val="p"/>
          </m:rPr>
          <m:t>e</m:t>
        </m:r>
        <m:r>
          <m:rPr>
            <m:sty m:val="p"/>
          </m:rPr>
          <m:t>c</m:t>
        </m:r>
        <m:r>
          <m:rPr>
            <m:sty m:val="p"/>
          </m:rPr>
          <m:t>l</m:t>
        </m:r>
        <m:d>
          <m:dPr>
            <m:begChr m:val="("/>
            <m:sepChr m:val=""/>
            <m:endChr m:val=")"/>
            <m:grow/>
          </m:dPr>
          <m:e>
            <m:r>
              <m:t>t</m:t>
            </m:r>
          </m:e>
        </m:d>
      </m:oMath>
      <w:r>
        <w:t xml:space="preserve"> </w:t>
      </w:r>
      <w:r>
        <w:t xml:space="preserve">for the set of top-level</w:t>
      </w:r>
      <w:r>
        <w:t xml:space="preserve"> </w:t>
      </w:r>
      <w:r>
        <w:t xml:space="preserve">properties declared by any version of</w:t>
      </w:r>
      <w:r>
        <w:t xml:space="preserve"> </w:t>
      </w:r>
      <m:oMath>
        <m:r>
          <m:t>t</m:t>
        </m:r>
      </m:oMath>
      <w:r>
        <w:t xml:space="preserve">.</w:t>
      </w:r>
    </w:p>
    <w:p>
      <w:pPr>
        <w:pStyle w:val="BodyText"/>
      </w:pPr>
      <w:r>
        <w:t xml:space="preserve">Taking the union over all versions makes</w:t>
      </w:r>
      <w:r>
        <w:t xml:space="preserve"> </w:t>
      </w:r>
      <m:oMath>
        <m:r>
          <m:t>H</m:t>
        </m:r>
      </m:oMath>
      <w:r>
        <w:t xml:space="preserve"> </w:t>
      </w:r>
      <w:r>
        <w:t xml:space="preserve">valid for every schema version a</w:t>
      </w:r>
      <w:r>
        <w:t xml:space="preserve"> </w:t>
      </w:r>
      <w:r>
        <w:t xml:space="preserve">service may implement, from a Redfish 1.0 service that only knows</w:t>
      </w:r>
      <w:r>
        <w:t xml:space="preserve"> </w:t>
      </w:r>
      <w:r>
        <w:rPr>
          <w:rStyle w:val="VerbatimChar"/>
        </w:rPr>
        <w:t xml:space="preserve">Chassis.Power</w:t>
      </w:r>
      <w:r>
        <w:t xml:space="preserve"> </w:t>
      </w:r>
      <w:r>
        <w:t xml:space="preserve">to a 2026 service that also knows</w:t>
      </w:r>
      <w:r>
        <w:t xml:space="preserve"> </w:t>
      </w:r>
      <w:r>
        <w:rPr>
          <w:rStyle w:val="VerbatimChar"/>
        </w:rPr>
        <w:t xml:space="preserve">Chassis.PowerSubsystem</w:t>
      </w:r>
      <w:r>
        <w:t xml:space="preserve">. Collections are ordinary types: the edge</w:t>
      </w:r>
      <w:r>
        <w:t xml:space="preserve"> </w:t>
      </w:r>
      <m:oMath>
        <m:d>
          <m:dPr>
            <m:begChr m:val="("/>
            <m:sepChr m:val=""/>
            <m:endChr m:val=")"/>
            <m:grow/>
          </m:dPr>
          <m:e>
            <m:r>
              <m:rPr>
                <m:nor/>
              </m:rPr>
              <m:t>PowerSupplyCollection</m:t>
            </m:r>
            <m:r>
              <m:rPr>
                <m:sty m:val="p"/>
              </m:rPr>
              <m:t>,</m:t>
            </m:r>
            <m:r>
              <m:rPr>
                <m:nor/>
              </m:rPr>
              <m:t>Members</m:t>
            </m:r>
            <m:r>
              <m:rPr>
                <m:sty m:val="p"/>
              </m:rPr>
              <m:t>,</m:t>
            </m:r>
            <m:r>
              <m:rPr>
                <m:nor/>
              </m:rPr>
              <m:t>PowerSupply</m:t>
            </m:r>
          </m:e>
        </m:d>
        <m:r>
          <m:rPr>
            <m:sty m:val="p"/>
          </m:rPr>
          <m:t>∈</m:t>
        </m:r>
        <m:r>
          <m:t>F</m:t>
        </m:r>
      </m:oMath>
      <w:r>
        <w:t xml:space="preserve"> </w:t>
      </w:r>
      <w:r>
        <w:t xml:space="preserve">is</w:t>
      </w:r>
      <w:r>
        <w:t xml:space="preserve"> </w:t>
      </w:r>
      <w:r>
        <w:t xml:space="preserve">obtained from the</w:t>
      </w:r>
      <w:r>
        <w:t xml:space="preserve"> </w:t>
      </w:r>
      <w:r>
        <w:rPr>
          <w:rStyle w:val="VerbatimChar"/>
        </w:rPr>
        <w:t xml:space="preserve">Members</w:t>
      </w:r>
      <w:r>
        <w:t xml:space="preserve"> </w:t>
      </w:r>
      <w:r>
        <w:t xml:space="preserve">array of the collection schema.</w:t>
      </w:r>
    </w:p>
    <w:p>
      <w:pPr>
        <w:pStyle w:val="BodyText"/>
      </w:pPr>
      <w:r>
        <w:t xml:space="preserve">For a set</w:t>
      </w:r>
      <w:r>
        <w:t xml:space="preserve"> </w:t>
      </w:r>
      <m:oMath>
        <m:r>
          <m:t>X</m:t>
        </m:r>
        <m:r>
          <m:rPr>
            <m:sty m:val="p"/>
          </m:rPr>
          <m:t>⊆</m:t>
        </m:r>
        <m:r>
          <m:rPr>
            <m:scr m:val="script"/>
            <m:sty m:val="p"/>
          </m:rPr>
          <m:t>T</m:t>
        </m:r>
      </m:oMath>
      <w:r>
        <w:t xml:space="preserve"> </w:t>
      </w:r>
      <w:r>
        <w:t xml:space="preserve">of excluded types, the</w:t>
      </w:r>
      <w:r>
        <w:t xml:space="preserve"> </w:t>
      </w:r>
      <w:r>
        <w:rPr>
          <w:iCs/>
          <w:i/>
        </w:rPr>
        <w:t xml:space="preserve">reachability</w:t>
      </w:r>
      <w:r>
        <w:t xml:space="preserve"> </w:t>
      </w:r>
      <w:r>
        <w:t xml:space="preserve">of a</w:t>
      </w:r>
      <w:r>
        <w:t xml:space="preserve"> </w:t>
      </w:r>
      <w:r>
        <w:t xml:space="preserve">type is the reflexive-transitive closure of</w:t>
      </w:r>
      <w:r>
        <w:t xml:space="preserve"> </w:t>
      </w:r>
      <m:oMath>
        <m:r>
          <m:t>H</m:t>
        </m:r>
      </m:oMath>
      <w:r>
        <w:t xml:space="preserve"> </w:t>
      </w:r>
      <w:r>
        <w:t xml:space="preserve">avoiding</w:t>
      </w:r>
      <w:r>
        <w:t xml:space="preserve"> </w:t>
      </w:r>
      <m:oMath>
        <m:r>
          <m:t>X</m:t>
        </m:r>
      </m:oMath>
      <w:r>
        <w:t xml:space="preserve">:</w:t>
      </w:r>
    </w:p>
    <w:p>
      <w:pPr>
        <w:tabs>
          <w:tab w:val="center" w:pos="4309"/>
          <w:tab w:val="right" w:pos="8618"/>
        </w:tabs>
        <w:spacing w:before="120" w:after="120"/>
      </w:pPr>
      <w:r>
        <w:tab/>
      </w:r>
      <m:oMath>
        <m:sSub>
          <m:e>
            <m:r>
              <m:rPr>
                <m:sty m:val="p"/>
              </m:rPr>
              <m:t>R</m:t>
            </m:r>
          </m:e>
          <m:sub>
            <m:r>
              <m:t>X</m:t>
            </m:r>
          </m:sub>
        </m:sSub>
        <m:d>
          <m:dPr>
            <m:begChr m:val="("/>
            <m:sepChr m:val=""/>
            <m:endChr m:val=")"/>
            <m:grow/>
          </m:dPr>
          <m:e>
            <m:r>
              <m:t>t</m:t>
            </m:r>
          </m:e>
        </m:d>
        <m:r>
          <m:rPr>
            <m:sty m:val="p"/>
          </m:rPr>
          <m:t>=</m:t>
        </m:r>
        <m:r>
          <m:rPr>
            <m:sty m:val="p"/>
          </m:rPr>
          <m:t>{</m:t>
        </m:r>
        <m:r>
          <m:t>t</m:t>
        </m:r>
        <m:r>
          <m:rPr>
            <m:sty m:val="p"/>
          </m:rPr>
          <m:t>}</m:t>
        </m:r>
        <m:r>
          <m:rPr>
            <m:sty m:val="p"/>
          </m:rPr>
          <m:t>∪</m:t>
        </m:r>
        <m:r>
          <m:rPr>
            <m:sty m:val="p"/>
          </m:rPr>
          <m:t>{</m:t>
        </m:r>
        <m:r>
          <m:t> </m:t>
        </m:r>
        <m:r>
          <m:t>t</m:t>
        </m:r>
        <m:r>
          <m:rPr>
            <m:sty m:val="p"/>
          </m:rPr>
          <m:t>′</m:t>
        </m:r>
        <m:r>
          <m:rPr>
            <m:sty m:val="p"/>
          </m:rPr>
          <m:t>∈</m:t>
        </m:r>
        <m:r>
          <m:rPr>
            <m:scr m:val="script"/>
            <m:sty m:val="p"/>
          </m:rPr>
          <m:t>T</m:t>
        </m:r>
        <m:r>
          <m:rPr>
            <m:sty m:val="p"/>
          </m:rPr>
          <m:t>\</m:t>
        </m:r>
        <m:r>
          <m:t>X</m:t>
        </m:r>
        <m:r>
          <m:rPr>
            <m:sty m:val="p"/>
          </m:rPr>
          <m:t>:</m:t>
        </m:r>
        <m:r>
          <m:rPr>
            <m:sty m:val="p"/>
          </m:rPr>
          <m:t>∃</m:t>
        </m:r>
        <m:r>
          <m:t> </m:t>
        </m:r>
        <m:r>
          <m:t>t</m:t>
        </m:r>
        <m:r>
          <m:rPr>
            <m:sty m:val="p"/>
          </m:rPr>
          <m:t>=</m:t>
        </m:r>
        <m:sSub>
          <m:e>
            <m:r>
              <m:t>t</m:t>
            </m:r>
          </m:e>
          <m:sub>
            <m:r>
              <m:t>0</m:t>
            </m:r>
          </m:sub>
        </m:sSub>
        <m:r>
          <m:rPr>
            <m:sty m:val="p"/>
          </m:rPr>
          <m:t>,</m:t>
        </m:r>
        <m:sSub>
          <m:e>
            <m:r>
              <m:t>t</m:t>
            </m:r>
          </m:e>
          <m:sub>
            <m:r>
              <m:t>1</m:t>
            </m:r>
          </m:sub>
        </m:sSub>
        <m:r>
          <m:rPr>
            <m:sty m:val="p"/>
          </m:rPr>
          <m:t>,</m:t>
        </m:r>
        <m:r>
          <m:rPr>
            <m:sty m:val="p"/>
          </m:rPr>
          <m:t>…</m:t>
        </m:r>
        <m:r>
          <m:rPr>
            <m:sty m:val="p"/>
          </m:rPr>
          <m:t>,</m:t>
        </m:r>
        <m:sSub>
          <m:e>
            <m:r>
              <m:t>t</m:t>
            </m:r>
          </m:e>
          <m:sub>
            <m:r>
              <m:t>k</m:t>
            </m:r>
          </m:sub>
        </m:sSub>
        <m:r>
          <m:rPr>
            <m:sty m:val="p"/>
          </m:rPr>
          <m:t>=</m:t>
        </m:r>
        <m:r>
          <m:t>t</m:t>
        </m:r>
        <m:r>
          <m:rPr>
            <m:sty m:val="p"/>
          </m:rPr>
          <m:t>′</m:t>
        </m:r>
        <m:r>
          <m:rPr>
            <m:nor/>
          </m:rPr>
          <m:t> with </m:t>
        </m:r>
        <m:sSub>
          <m:e>
            <m:r>
              <m:t>t</m:t>
            </m:r>
          </m:e>
          <m:sub>
            <m:r>
              <m:t>i</m:t>
            </m:r>
            <m:r>
              <m:rPr>
                <m:sty m:val="p"/>
              </m:rPr>
              <m:t>+</m:t>
            </m:r>
            <m:r>
              <m:t>1</m:t>
            </m:r>
          </m:sub>
        </m:sSub>
        <m:r>
          <m:rPr>
            <m:sty m:val="p"/>
          </m:rPr>
          <m:t>∈</m:t>
        </m:r>
        <m:r>
          <m:t>H</m:t>
        </m:r>
        <m:d>
          <m:dPr>
            <m:begChr m:val="("/>
            <m:sepChr m:val=""/>
            <m:endChr m:val=")"/>
            <m:grow/>
          </m:dPr>
          <m:e>
            <m:sSub>
              <m:e>
                <m:r>
                  <m:t>t</m:t>
                </m:r>
              </m:e>
              <m:sub>
                <m:r>
                  <m:t>i</m:t>
                </m:r>
              </m:sub>
            </m:sSub>
            <m:r>
              <m:rPr>
                <m:sty m:val="p"/>
              </m:rPr>
              <m:t>,</m:t>
            </m:r>
            <m:sSub>
              <m:e>
                <m:r>
                  <m:t>p</m:t>
                </m:r>
              </m:e>
              <m:sub>
                <m:r>
                  <m:t>i</m:t>
                </m:r>
              </m:sub>
            </m:sSub>
          </m:e>
        </m:d>
        <m:r>
          <m:rPr>
            <m:sty m:val="p"/>
          </m:rPr>
          <m:t>,</m:t>
        </m:r>
        <m:r>
          <m:t> </m:t>
        </m:r>
        <m:sSub>
          <m:e>
            <m:r>
              <m:t>t</m:t>
            </m:r>
          </m:e>
          <m:sub>
            <m:r>
              <m:t>1</m:t>
            </m:r>
          </m:sub>
        </m:sSub>
        <m:r>
          <m:rPr>
            <m:sty m:val="p"/>
          </m:rPr>
          <m:t>,</m:t>
        </m:r>
        <m:r>
          <m:rPr>
            <m:sty m:val="p"/>
          </m:rPr>
          <m:t>…</m:t>
        </m:r>
        <m:r>
          <m:rPr>
            <m:sty m:val="p"/>
          </m:rPr>
          <m:t>,</m:t>
        </m:r>
        <m:sSub>
          <m:e>
            <m:r>
              <m:t>t</m:t>
            </m:r>
          </m:e>
          <m:sub>
            <m:r>
              <m:t>k</m:t>
            </m:r>
          </m:sub>
        </m:sSub>
        <m:r>
          <m:rPr>
            <m:sty m:val="p"/>
          </m:rPr>
          <m:t>∉</m:t>
        </m:r>
        <m:r>
          <m:t>X</m:t>
        </m:r>
        <m:r>
          <m:t> </m:t>
        </m:r>
        <m:r>
          <m:rPr>
            <m:sty m:val="p"/>
          </m:rPr>
          <m:t>}</m:t>
        </m:r>
      </m:oMath>
      <w:r>
        <w:tab/>
        <w:t>(5.2)</w:t>
      </w:r>
    </w:p>
    <w:p>
      <w:pPr>
        <w:pStyle w:val="FirstParagraph"/>
      </w:pPr>
      <w:r>
        <w:drawing>
          <wp:inline>
            <wp:extent cx="5334000" cy="3427596"/>
            <wp:effectExtent b="0" l="0" r="0" t="0"/>
            <wp:docPr descr="image" title="" id="1" name="Picture"/>
            <a:graphic>
              <a:graphicData uri="http://schemas.openxmlformats.org/drawingml/2006/picture">
                <pic:pic>
                  <pic:nvPicPr>
                    <pic:cNvPr descr="img/alg1.png" id="0" name="Picture"/>
                    <pic:cNvPicPr>
                      <a:picLocks noChangeArrowheads="1" noChangeAspect="1"/>
                    </pic:cNvPicPr>
                  </pic:nvPicPr>
                  <pic:blipFill>
                    <a:blip r:embed="rId49"/>
                    <a:stretch>
                      <a:fillRect/>
                    </a:stretch>
                  </pic:blipFill>
                  <pic:spPr bwMode="auto">
                    <a:xfrm>
                      <a:off x="0" y="0"/>
                      <a:ext cx="5334000" cy="3427596"/>
                    </a:xfrm>
                    <a:prstGeom prst="rect">
                      <a:avLst/>
                    </a:prstGeom>
                    <a:noFill/>
                    <a:ln w="9525">
                      <a:noFill/>
                      <a:headEnd/>
                      <a:tailEnd/>
                    </a:ln>
                  </pic:spPr>
                </pic:pic>
              </a:graphicData>
            </a:graphic>
          </wp:inline>
        </w:drawing>
      </w:r>
    </w:p>
    <w:p>
      <w:pPr>
        <w:pStyle w:val="BodyText"/>
      </w:pPr>
      <w:r>
        <w:t xml:space="preserve">Applied to the DMTF schema bundle 2026.2 (6</w:t>
      </w:r>
      <w:r>
        <w:t xml:space="preserve">,</w:t>
      </w:r>
      <w:r>
        <w:t xml:space="preserve">826 versioned JSON Schema files),</w:t>
      </w:r>
      <w:r>
        <w:t xml:space="preserve"> </w:t>
      </w:r>
      <w:r>
        <w:t xml:space="preserve">Algorithm 1 yields</w:t>
      </w:r>
      <w:r>
        <w:t xml:space="preserve"> </w:t>
      </w:r>
      <m:oMath>
        <m:d>
          <m:dPr>
            <m:begChr m:val="|"/>
            <m:sepChr m:val=""/>
            <m:endChr m:val="|"/>
            <m:grow/>
          </m:dPr>
          <m:e>
            <m:r>
              <m:rPr>
                <m:scr m:val="script"/>
                <m:sty m:val="p"/>
              </m:rPr>
              <m:t>T</m:t>
            </m:r>
          </m:e>
        </m:d>
        <m:r>
          <m:rPr>
            <m:sty m:val="p"/>
          </m:rPr>
          <m:t>=</m:t>
        </m:r>
        <m:r>
          <m:t>278</m:t>
        </m:r>
      </m:oMath>
      <w:r>
        <w:t xml:space="preserve"> </w:t>
      </w:r>
      <w:r>
        <w:t xml:space="preserve">resource types and</w:t>
      </w:r>
      <w:r>
        <w:t xml:space="preserve"> </w:t>
      </w:r>
      <m:oMath>
        <m:d>
          <m:dPr>
            <m:begChr m:val="|"/>
            <m:sepChr m:val=""/>
            <m:endChr m:val="|"/>
            <m:grow/>
          </m:dPr>
          <m:e>
            <m:r>
              <m:t>F</m:t>
            </m:r>
          </m:e>
        </m:d>
        <m:r>
          <m:rPr>
            <m:sty m:val="p"/>
          </m:rPr>
          <m:t>=</m:t>
        </m:r>
        <m:r>
          <m:t>499</m:t>
        </m:r>
      </m:oMath>
      <w:r>
        <w:t xml:space="preserve"> </w:t>
      </w:r>
      <w:r>
        <w:t xml:space="preserve">labelled edges in about one second. Reachability sets are computed lazily by</w:t>
      </w:r>
      <w:r>
        <w:t xml:space="preserve"> </w:t>
      </w:r>
      <w:r>
        <w:t xml:space="preserve">BFS on</w:t>
      </w:r>
      <w:r>
        <w:t xml:space="preserve"> </w:t>
      </w:r>
      <m:oMath>
        <m:r>
          <m:t>H</m:t>
        </m:r>
      </m:oMath>
      <w:r>
        <w:t xml:space="preserve"> </w:t>
      </w:r>
      <w:r>
        <w:t xml:space="preserve">and memoised, so each</w:t>
      </w:r>
      <w:r>
        <w:t xml:space="preserve"> </w:t>
      </w:r>
      <m:oMath>
        <m:sSub>
          <m:e>
            <m:r>
              <m:rPr>
                <m:sty m:val="p"/>
              </m:rPr>
              <m:t>R</m:t>
            </m:r>
          </m:e>
          <m:sub>
            <m:r>
              <m:t>X</m:t>
            </m:r>
          </m:sub>
        </m:sSub>
        <m:d>
          <m:dPr>
            <m:begChr m:val="("/>
            <m:sepChr m:val=""/>
            <m:endChr m:val=")"/>
            <m:grow/>
          </m:dPr>
          <m:e>
            <m:r>
              <m:t>t</m:t>
            </m:r>
          </m:e>
        </m:d>
      </m:oMath>
      <w:r>
        <w:t xml:space="preserve"> </w:t>
      </w:r>
      <w:r>
        <w:t xml:space="preserve">costs</w:t>
      </w:r>
      <w:r>
        <w:t xml:space="preserve"> </w:t>
      </w:r>
      <m:oMath>
        <m:r>
          <m:t>O</m:t>
        </m:r>
        <m:d>
          <m:dPr>
            <m:begChr m:val="("/>
            <m:sepChr m:val=""/>
            <m:endChr m:val=")"/>
            <m:grow/>
          </m:dPr>
          <m:e>
            <m:d>
              <m:dPr>
                <m:begChr m:val="|"/>
                <m:sepChr m:val=""/>
                <m:endChr m:val="|"/>
                <m:grow/>
              </m:dPr>
              <m:e>
                <m:r>
                  <m:rPr>
                    <m:scr m:val="script"/>
                    <m:sty m:val="p"/>
                  </m:rPr>
                  <m:t>T</m:t>
                </m:r>
              </m:e>
            </m:d>
            <m:r>
              <m:rPr>
                <m:sty m:val="p"/>
              </m:rPr>
              <m:t>+</m:t>
            </m:r>
            <m:d>
              <m:dPr>
                <m:begChr m:val="|"/>
                <m:sepChr m:val=""/>
                <m:endChr m:val="|"/>
                <m:grow/>
              </m:dPr>
              <m:e>
                <m:r>
                  <m:t>F</m:t>
                </m:r>
              </m:e>
            </m:d>
          </m:e>
        </m:d>
      </m:oMath>
      <w:r>
        <w:t xml:space="preserve"> </w:t>
      </w:r>
      <w:r>
        <w:t xml:space="preserve">once.</w:t>
      </w:r>
    </w:p>
    <w:p>
      <w:pPr>
        <w:pStyle w:val="BodyText"/>
      </w:pPr>
      <w:r>
        <w:rPr>
          <w:bCs/>
          <w:b/>
        </w:rPr>
        <w:t xml:space="preserve">Expansion rule.</w:t>
      </w:r>
      <w:r>
        <w:t xml:space="preserve"> </w:t>
      </w:r>
      <w:r>
        <w:t xml:space="preserve">During discovery, a reference found in the body of</w:t>
      </w:r>
      <w:r>
        <w:t xml:space="preserve"> </w:t>
      </w:r>
      <w:r>
        <w:t xml:space="preserve">a node</w:t>
      </w:r>
      <w:r>
        <w:t xml:space="preserve"> </w:t>
      </w:r>
      <m:oMath>
        <m:r>
          <m:t>u</m:t>
        </m:r>
      </m:oMath>
      <w:r>
        <w:t xml:space="preserve"> </w:t>
      </w:r>
      <w:r>
        <w:t xml:space="preserve">of type</w:t>
      </w:r>
      <w:r>
        <w:t xml:space="preserve"> </w:t>
      </w:r>
      <m:oMath>
        <m:r>
          <m:t>t</m:t>
        </m:r>
        <m:r>
          <m:rPr>
            <m:sty m:val="p"/>
          </m:rPr>
          <m:t>=</m:t>
        </m:r>
        <m:r>
          <m:t>τ</m:t>
        </m:r>
        <m:d>
          <m:dPr>
            <m:begChr m:val="("/>
            <m:sepChr m:val=""/>
            <m:endChr m:val=")"/>
            <m:grow/>
          </m:dPr>
          <m:e>
            <m:r>
              <m:t>u</m:t>
            </m:r>
          </m:e>
        </m:d>
      </m:oMath>
      <w:r>
        <w:t xml:space="preserve"> </w:t>
      </w:r>
      <w:r>
        <w:t xml:space="preserve">under top-level property</w:t>
      </w:r>
      <w:r>
        <w:t xml:space="preserve"> </w:t>
      </w:r>
      <m:oMath>
        <m:r>
          <m:t>p</m:t>
        </m:r>
      </m:oMath>
      <w:r>
        <w:t xml:space="preserve"> </w:t>
      </w:r>
      <w:r>
        <w:t xml:space="preserve">is</w:t>
      </w:r>
      <w:r>
        <w:t xml:space="preserve"> </w:t>
      </w:r>
      <w:r>
        <w:rPr>
          <w:iCs/>
          <w:i/>
        </w:rPr>
        <w:t xml:space="preserve">expanded</w:t>
      </w:r>
      <w:r>
        <w:t xml:space="preserve"> </w:t>
      </w:r>
      <w:r>
        <w:t xml:space="preserve">(its target is enqueued for fetching) according to the following rule, where</w:t>
      </w:r>
      <w:r>
        <w:t xml:space="preserve"> </w:t>
      </w:r>
      <m:oMath>
        <m:r>
          <m:t>A</m:t>
        </m:r>
        <m:r>
          <m:rPr>
            <m:sty m:val="p"/>
          </m:rPr>
          <m:t>=</m:t>
        </m:r>
        <m:sSub>
          <m:e>
            <m:r>
              <m:rPr>
                <m:sty m:val="p"/>
              </m:rPr>
              <m:t>⋃</m:t>
            </m:r>
          </m:e>
          <m:sub>
            <m:r>
              <m:t>j</m:t>
            </m:r>
          </m:sub>
        </m:sSub>
        <m:r>
          <m:rPr>
            <m:sty m:val="p"/>
          </m:rPr>
          <m:t>Anc</m:t>
        </m:r>
        <m:d>
          <m:dPr>
            <m:begChr m:val="("/>
            <m:sepChr m:val=""/>
            <m:endChr m:val=")"/>
            <m:grow/>
          </m:dPr>
          <m:e>
            <m:sSub>
              <m:e>
                <m:r>
                  <m:t>Q</m:t>
                </m:r>
              </m:e>
              <m:sub>
                <m:r>
                  <m:t>j</m:t>
                </m:r>
              </m:sub>
            </m:sSub>
          </m:e>
        </m:d>
      </m:oMath>
      <w:r>
        <w:t xml:space="preserve"> </w:t>
      </w:r>
      <w:r>
        <w:t xml:space="preserve">is the union of the anchor types of all active queries:</w:t>
      </w:r>
    </w:p>
    <w:p>
      <w:pPr>
        <w:tabs>
          <w:tab w:val="center" w:pos="4309"/>
          <w:tab w:val="right" w:pos="8618"/>
        </w:tabs>
        <w:spacing w:before="120" w:after="120"/>
      </w:pPr>
      <w:r>
        <w:tab/>
      </w:r>
      <m:oMath>
        <m:r>
          <m:rPr>
            <m:sty m:val="p"/>
          </m:rPr>
          <m:t>e</m:t>
        </m:r>
        <m:r>
          <m:rPr>
            <m:sty m:val="p"/>
          </m:rPr>
          <m:t>x</m:t>
        </m:r>
        <m:r>
          <m:rPr>
            <m:sty m:val="p"/>
          </m:rPr>
          <m:t>p</m:t>
        </m:r>
        <m:r>
          <m:rPr>
            <m:sty m:val="p"/>
          </m:rPr>
          <m:t>a</m:t>
        </m:r>
        <m:r>
          <m:rPr>
            <m:sty m:val="p"/>
          </m:rPr>
          <m:t>n</m:t>
        </m:r>
        <m:r>
          <m:rPr>
            <m:sty m:val="p"/>
          </m:rPr>
          <m:t>d</m:t>
        </m:r>
        <m:d>
          <m:dPr>
            <m:begChr m:val="("/>
            <m:sepChr m:val=""/>
            <m:endChr m:val=")"/>
            <m:grow/>
          </m:dPr>
          <m:e>
            <m:r>
              <m:t>t</m:t>
            </m:r>
            <m:r>
              <m:rPr>
                <m:sty m:val="p"/>
              </m:rPr>
              <m:t>,</m:t>
            </m:r>
            <m:r>
              <m:t>p</m:t>
            </m:r>
          </m:e>
        </m:d>
        <m:r>
          <m:rPr>
            <m:sty m:val="p"/>
          </m:rPr>
          <m:t>=</m:t>
        </m:r>
        <m:d>
          <m:dPr>
            <m:begChr m:val="{"/>
            <m:sepChr m:val=""/>
            <m:endChr m:val=""/>
            <m:grow/>
          </m:dPr>
          <m:e>
            <m:m>
              <m:mPr>
                <m:baseJc m:val="center"/>
                <m:plcHide m:val="1"/>
                <m:mcs>
                  <m:mc>
                    <m:mcPr>
                      <m:count m:val="1"/>
                      <m:mcJc m:val="left"/>
                    </m:mcPr>
                  </m:mc>
                  <m:mc>
                    <m:mcPr>
                      <m:count m:val="1"/>
                      <m:mcJc m:val="left"/>
                    </m:mcPr>
                  </m:mc>
                </m:mcs>
              </m:mPr>
              <m:mr>
                <m:e>
                  <m:r>
                    <m:rPr>
                      <m:nor/>
                    </m:rPr>
                    <m:t>true</m:t>
                  </m:r>
                </m:e>
                <m:e>
                  <m:r>
                    <m:rPr>
                      <m:nor/>
                    </m:rPr>
                    <m:t>if </m:t>
                  </m:r>
                  <m:r>
                    <m:t>t</m:t>
                  </m:r>
                  <m:r>
                    <m:rPr>
                      <m:sty m:val="p"/>
                    </m:rPr>
                    <m:t>=</m:t>
                  </m:r>
                  <m:r>
                    <m:rPr>
                      <m:sty m:val="p"/>
                    </m:rPr>
                    <m:t>⊥</m:t>
                  </m:r>
                  <m:r>
                    <m:rPr>
                      <m:nor/>
                    </m:rPr>
                    <m:t> or </m:t>
                  </m:r>
                  <m:r>
                    <m:t>p</m:t>
                  </m:r>
                  <m:r>
                    <m:rPr>
                      <m:sty m:val="p"/>
                    </m:rPr>
                    <m:t>∉</m:t>
                  </m:r>
                  <m:r>
                    <m:rPr>
                      <m:sty m:val="p"/>
                    </m:rPr>
                    <m:t>D</m:t>
                  </m:r>
                  <m:r>
                    <m:rPr>
                      <m:sty m:val="p"/>
                    </m:rPr>
                    <m:t>e</m:t>
                  </m:r>
                  <m:r>
                    <m:rPr>
                      <m:sty m:val="p"/>
                    </m:rPr>
                    <m:t>c</m:t>
                  </m:r>
                  <m:r>
                    <m:rPr>
                      <m:sty m:val="p"/>
                    </m:rPr>
                    <m:t>l</m:t>
                  </m:r>
                  <m:d>
                    <m:dPr>
                      <m:begChr m:val="("/>
                      <m:sepChr m:val=""/>
                      <m:endChr m:val=")"/>
                      <m:grow/>
                    </m:dPr>
                    <m:e>
                      <m:r>
                        <m:t>t</m:t>
                      </m:r>
                    </m:e>
                  </m:d>
                  <m:r>
                    <m:rPr>
                      <m:nor/>
                    </m:rPr>
                    <m:t> (unknown)</m:t>
                  </m:r>
                  <m:r>
                    <m:rPr>
                      <m:sty m:val="p"/>
                    </m:rPr>
                    <m:t>,</m:t>
                  </m:r>
                </m:e>
              </m:mr>
              <m:mr>
                <m:e>
                  <m:r>
                    <m:rPr>
                      <m:sty m:val="p"/>
                    </m:rPr>
                    <m:t>∃</m:t>
                  </m:r>
                  <m:r>
                    <m:t> </m:t>
                  </m:r>
                  <m:r>
                    <m:t>t</m:t>
                  </m:r>
                  <m:r>
                    <m:rPr>
                      <m:sty m:val="p"/>
                    </m:rPr>
                    <m:t>′</m:t>
                  </m:r>
                  <m:r>
                    <m:rPr>
                      <m:sty m:val="p"/>
                    </m:rPr>
                    <m:t>∈</m:t>
                  </m:r>
                  <m:r>
                    <m:t>H</m:t>
                  </m:r>
                  <m:d>
                    <m:dPr>
                      <m:begChr m:val="("/>
                      <m:sepChr m:val=""/>
                      <m:endChr m:val=")"/>
                      <m:grow/>
                    </m:dPr>
                    <m:e>
                      <m:r>
                        <m:t>t</m:t>
                      </m:r>
                      <m:r>
                        <m:rPr>
                          <m:sty m:val="p"/>
                        </m:rPr>
                        <m:t>,</m:t>
                      </m:r>
                      <m:r>
                        <m:t>p</m:t>
                      </m:r>
                    </m:e>
                  </m:d>
                  <m:r>
                    <m:rPr>
                      <m:sty m:val="p"/>
                    </m:rPr>
                    <m:t>\</m:t>
                  </m:r>
                  <m:r>
                    <m:t>X</m:t>
                  </m:r>
                  <m:r>
                    <m:rPr>
                      <m:sty m:val="p"/>
                    </m:rPr>
                    <m:t>:</m:t>
                  </m:r>
                  <m:r>
                    <m:t> </m:t>
                  </m:r>
                  <m:sSub>
                    <m:e>
                      <m:r>
                        <m:rPr>
                          <m:sty m:val="p"/>
                        </m:rPr>
                        <m:t>R</m:t>
                      </m:r>
                    </m:e>
                    <m:sub>
                      <m:r>
                        <m:t>X</m:t>
                      </m:r>
                    </m:sub>
                  </m:sSub>
                  <m:d>
                    <m:dPr>
                      <m:begChr m:val="("/>
                      <m:sepChr m:val=""/>
                      <m:endChr m:val=")"/>
                      <m:grow/>
                    </m:dPr>
                    <m:e>
                      <m:r>
                        <m:t>t</m:t>
                      </m:r>
                      <m:r>
                        <m:rPr>
                          <m:sty m:val="p"/>
                        </m:rPr>
                        <m:t>′</m:t>
                      </m:r>
                    </m:e>
                  </m:d>
                  <m:r>
                    <m:rPr>
                      <m:sty m:val="p"/>
                    </m:rPr>
                    <m:t>∩</m:t>
                  </m:r>
                  <m:r>
                    <m:t>A</m:t>
                  </m:r>
                  <m:r>
                    <m:rPr>
                      <m:sty m:val="p"/>
                    </m:rPr>
                    <m:t>≠</m:t>
                  </m:r>
                  <m:r>
                    <m:rPr>
                      <m:sty m:val="p"/>
                    </m:rPr>
                    <m:t>∅</m:t>
                  </m:r>
                </m:e>
                <m:e>
                  <m:r>
                    <m:rPr>
                      <m:nor/>
                    </m:rPr>
                    <m:t>otherwise.</m:t>
                  </m:r>
                </m:e>
              </m:mr>
            </m:m>
          </m:e>
        </m:d>
      </m:oMath>
      <w:r>
        <w:tab/>
        <w:t>(5.3)</w:t>
      </w:r>
    </w:p>
    <w:p>
      <w:pPr>
        <w:pStyle w:val="FirstParagraph"/>
      </w:pPr>
      <w:r>
        <w:t xml:space="preserve">Three consequences of Eq. (5.3) are worth noting. (i) If</w:t>
      </w:r>
      <w:r>
        <w:t xml:space="preserve"> </w:t>
      </w:r>
      <m:oMath>
        <m:r>
          <m:t>p</m:t>
        </m:r>
      </m:oMath>
      <w:r>
        <w:t xml:space="preserve"> </w:t>
      </w:r>
      <w:r>
        <w:t xml:space="preserve">is declared</w:t>
      </w:r>
      <w:r>
        <w:t xml:space="preserve"> </w:t>
      </w:r>
      <w:r>
        <w:t xml:space="preserve">but is not a navigation property (</w:t>
      </w:r>
      <m:oMath>
        <m:r>
          <m:t>H</m:t>
        </m:r>
        <m:d>
          <m:dPr>
            <m:begChr m:val="("/>
            <m:sepChr m:val=""/>
            <m:endChr m:val=")"/>
            <m:grow/>
          </m:dPr>
          <m:e>
            <m:r>
              <m:t>t</m:t>
            </m:r>
            <m:r>
              <m:rPr>
                <m:sty m:val="p"/>
              </m:rPr>
              <m:t>,</m:t>
            </m:r>
            <m:r>
              <m:t>p</m:t>
            </m:r>
          </m:e>
        </m:d>
        <m:r>
          <m:rPr>
            <m:sty m:val="p"/>
          </m:rPr>
          <m:t>=</m:t>
        </m:r>
        <m:r>
          <m:rPr>
            <m:sty m:val="p"/>
          </m:rPr>
          <m:t>∅</m:t>
        </m:r>
      </m:oMath>
      <w:r>
        <w:t xml:space="preserve">), references inside it,</w:t>
      </w:r>
      <w:r>
        <w:t xml:space="preserve"> </w:t>
      </w:r>
      <w:r>
        <w:t xml:space="preserve">such as</w:t>
      </w:r>
      <w:r>
        <w:t xml:space="preserve"> </w:t>
      </w:r>
      <w:r>
        <w:rPr>
          <w:rStyle w:val="VerbatimChar"/>
        </w:rPr>
        <w:t xml:space="preserve">Status/Conditions/*/OriginOfCondition</w:t>
      </w:r>
      <w:r>
        <w:t xml:space="preserve">, are cross references and</w:t>
      </w:r>
      <w:r>
        <w:t xml:space="preserve"> </w:t>
      </w:r>
      <w:r>
        <w:t xml:space="preserve">are never followed. (ii) Vendor-specific properties that are not in the schema,</w:t>
      </w:r>
      <w:r>
        <w:t xml:space="preserve"> </w:t>
      </w:r>
      <w:r>
        <w:t xml:space="preserve">and resources without</w:t>
      </w:r>
      <w:r>
        <w:t xml:space="preserve"> </w:t>
      </w:r>
      <w:r>
        <w:rPr>
          <w:rStyle w:val="VerbatimChar"/>
        </w:rPr>
        <w:t xml:space="preserve">@odata.type</w:t>
      </w:r>
      <w:r>
        <w:t xml:space="preserve">, are expanded, so the rule degrades to</w:t>
      </w:r>
      <w:r>
        <w:t xml:space="preserve"> </w:t>
      </w:r>
      <w:r>
        <w:t xml:space="preserve">plain Tree-BFS rather than losing data. (iii) </w:t>
      </w:r>
      <w:r>
        <w:rPr>
          <w:rStyle w:val="VerbatimChar"/>
        </w:rPr>
        <w:t xml:space="preserve">Oem</w:t>
      </w:r>
      <w:r>
        <w:t xml:space="preserve">,</w:t>
      </w:r>
      <w:r>
        <w:t xml:space="preserve"> </w:t>
      </w:r>
      <w:r>
        <w:rPr>
          <w:rStyle w:val="VerbatimChar"/>
        </w:rPr>
        <w:t xml:space="preserve">Links</w:t>
      </w:r>
      <w:r>
        <w:t xml:space="preserve"> </w:t>
      </w:r>
      <w:r>
        <w:t xml:space="preserve">and</w:t>
      </w:r>
      <w:r>
        <w:t xml:space="preserve"> </w:t>
      </w:r>
      <w:r>
        <w:rPr>
          <w:rStyle w:val="VerbatimChar"/>
        </w:rPr>
        <w:t xml:space="preserve">Actions</w:t>
      </w:r>
      <w:r>
        <w:t xml:space="preserve"> </w:t>
      </w:r>
      <w:r>
        <w:t xml:space="preserve">subtrees are skipped entirely, as in Tree-BFS.</w:t>
      </w:r>
    </w:p>
    <w:bookmarkEnd w:id="50"/>
    <w:bookmarkStart w:id="52" w:name="the-sp-bfs-algorithm"/>
    <w:p>
      <w:pPr>
        <w:pStyle w:val="Heading2"/>
      </w:pPr>
      <w:r>
        <w:t xml:space="preserve">5.3 The SP-BFS Algorithm</w:t>
      </w:r>
    </w:p>
    <w:p>
      <w:pPr>
        <w:pStyle w:val="FirstParagraph"/>
      </w:pPr>
      <w:r>
        <w:t xml:space="preserve">Algorithm 2 gives the complete discovery procedure. It evaluates any</w:t>
      </w:r>
      <w:r>
        <w:t xml:space="preserve"> </w:t>
      </w:r>
      <w:r>
        <w:t xml:space="preserve">number of queries in a single traversal, which is how the monitoring tool uses</w:t>
      </w:r>
      <w:r>
        <w:t xml:space="preserve"> </w:t>
      </w:r>
      <w:r>
        <w:t xml:space="preserve">it; a single-query call is the special case</w:t>
      </w:r>
      <w:r>
        <w:t xml:space="preserve"> </w:t>
      </w:r>
      <m:oMath>
        <m:r>
          <m:t>m</m:t>
        </m:r>
        <m:r>
          <m:rPr>
            <m:sty m:val="p"/>
          </m:rPr>
          <m:t>=</m:t>
        </m:r>
        <m:r>
          <m:t>1</m:t>
        </m:r>
      </m:oMath>
      <w:r>
        <w:t xml:space="preserve">.</w:t>
      </w:r>
    </w:p>
    <w:p>
      <w:pPr>
        <w:pStyle w:val="BodyText"/>
      </w:pPr>
      <w:r>
        <w:drawing>
          <wp:inline>
            <wp:extent cx="5334000" cy="3305743"/>
            <wp:effectExtent b="0" l="0" r="0" t="0"/>
            <wp:docPr descr="image" title="" id="1" name="Picture"/>
            <a:graphic>
              <a:graphicData uri="http://schemas.openxmlformats.org/drawingml/2006/picture">
                <pic:pic>
                  <pic:nvPicPr>
                    <pic:cNvPr descr="img/alg2.png" id="0" name="Picture"/>
                    <pic:cNvPicPr>
                      <a:picLocks noChangeArrowheads="1" noChangeAspect="1"/>
                    </pic:cNvPicPr>
                  </pic:nvPicPr>
                  <pic:blipFill>
                    <a:blip r:embed="rId51"/>
                    <a:stretch>
                      <a:fillRect/>
                    </a:stretch>
                  </pic:blipFill>
                  <pic:spPr bwMode="auto">
                    <a:xfrm>
                      <a:off x="0" y="0"/>
                      <a:ext cx="5334000" cy="3305743"/>
                    </a:xfrm>
                    <a:prstGeom prst="rect">
                      <a:avLst/>
                    </a:prstGeom>
                    <a:noFill/>
                    <a:ln w="9525">
                      <a:noFill/>
                      <a:headEnd/>
                      <a:tailEnd/>
                    </a:ln>
                  </pic:spPr>
                </pic:pic>
              </a:graphicData>
            </a:graphic>
          </wp:inline>
        </w:drawing>
      </w:r>
    </w:p>
    <w:p>
      <w:pPr>
        <w:pStyle w:val="BodyText"/>
      </w:pPr>
      <w:r>
        <w:rPr>
          <w:bCs/>
          <w:b/>
        </w:rPr>
        <w:t xml:space="preserve">Details.</w:t>
      </w:r>
      <w:r>
        <w:t xml:space="preserve"> </w:t>
      </w:r>
      <w:r>
        <w:t xml:space="preserve">References are extracted by a recursive walk over the body</w:t>
      </w:r>
      <w:r>
        <w:t xml:space="preserve"> </w:t>
      </w:r>
      <w:r>
        <w:t xml:space="preserve">that records, for each object with an</w:t>
      </w:r>
      <w:r>
        <w:t xml:space="preserve"> </w:t>
      </w:r>
      <w:r>
        <w:rPr>
          <w:rStyle w:val="VerbatimChar"/>
        </w:rPr>
        <w:t xml:space="preserve">@odata.id</w:t>
      </w:r>
      <w:r>
        <w:t xml:space="preserve"> </w:t>
      </w:r>
      <w:r>
        <w:t xml:space="preserve">other than the resource’s</w:t>
      </w:r>
      <w:r>
        <w:t xml:space="preserve"> </w:t>
      </w:r>
      <w:r>
        <w:t xml:space="preserve">own, the top-level property and the JSON Pointer of the object. References</w:t>
      </w:r>
      <w:r>
        <w:t xml:space="preserve"> </w:t>
      </w:r>
      <w:r>
        <w:t xml:space="preserve">whose target differs from</w:t>
      </w:r>
      <w:r>
        <w:t xml:space="preserve"> </w:t>
      </w:r>
      <m:oMath>
        <m:r>
          <m:t>u</m:t>
        </m:r>
      </m:oMath>
      <w:r>
        <w:t xml:space="preserve"> </w:t>
      </w:r>
      <w:r>
        <w:t xml:space="preserve">only by a fragment point into</w:t>
      </w:r>
      <w:r>
        <w:t xml:space="preserve"> </w:t>
      </w:r>
      <m:oMath>
        <m:r>
          <m:t>u</m:t>
        </m:r>
      </m:oMath>
      <w:r>
        <w:t xml:space="preserve"> </w:t>
      </w:r>
      <w:r>
        <w:t xml:space="preserve">itself and are</w:t>
      </w:r>
      <w:r>
        <w:t xml:space="preserve"> </w:t>
      </w:r>
      <w:r>
        <w:t xml:space="preserve">handled by the embedded part of the query.</w:t>
      </w:r>
      <w:r>
        <w:t xml:space="preserve"> </w:t>
      </w:r>
      <w:r>
        <w:rPr>
          <w:rStyle w:val="VerbatimChar"/>
        </w:rPr>
        <w:t xml:space="preserve">Members@odata.nextLink</w:t>
      </w:r>
      <w:r>
        <w:t xml:space="preserve"> </w:t>
      </w:r>
      <w:r>
        <w:t xml:space="preserve">pages</w:t>
      </w:r>
      <w:r>
        <w:t xml:space="preserve"> </w:t>
      </w:r>
      <w:r>
        <w:t xml:space="preserve">are treated as members of the same collection. The</w:t>
      </w:r>
      <w:r>
        <w:t xml:space="preserve"> </w:t>
      </w:r>
      <w:r>
        <w:rPr>
          <w:iCs/>
          <w:i/>
        </w:rPr>
        <w:t xml:space="preserve">seen</w:t>
      </w:r>
      <w:r>
        <w:t xml:space="preserve"> </w:t>
      </w:r>
      <w:r>
        <w:t xml:space="preserve">set makes the</w:t>
      </w:r>
      <w:r>
        <w:t xml:space="preserve"> </w:t>
      </w:r>
      <w:r>
        <w:t xml:space="preserve">algorithm terminate on graphs with cycles, as DSP0266 requires of traversing</w:t>
      </w:r>
      <w:r>
        <w:t xml:space="preserve"> </w:t>
      </w:r>
      <w:r>
        <w:t xml:space="preserve">clients. A reference rejected by Eq. (5.3) is</w:t>
      </w:r>
      <w:r>
        <w:t xml:space="preserve"> </w:t>
      </w:r>
      <w:r>
        <w:rPr>
          <w:iCs/>
          <w:i/>
        </w:rPr>
        <w:t xml:space="preserve">not</w:t>
      </w:r>
      <w:r>
        <w:t xml:space="preserve"> </w:t>
      </w:r>
      <w:r>
        <w:t xml:space="preserve">added to</w:t>
      </w:r>
      <w:r>
        <w:t xml:space="preserve"> </w:t>
      </w:r>
      <w:r>
        <w:rPr>
          <w:iCs/>
          <w:i/>
        </w:rPr>
        <w:t xml:space="preserve">seen</w:t>
      </w:r>
      <w:r>
        <w:t xml:space="preserve">, so the same resource can still be discovered through another,</w:t>
      </w:r>
      <w:r>
        <w:t xml:space="preserve"> </w:t>
      </w:r>
      <w:r>
        <w:t xml:space="preserve">admissible parent.</w:t>
      </w:r>
    </w:p>
    <w:bookmarkEnd w:id="52"/>
    <w:bookmarkStart w:id="53" w:name="soundness-and-necessity"/>
    <w:p>
      <w:pPr>
        <w:pStyle w:val="Heading2"/>
      </w:pPr>
      <w:r>
        <w:t xml:space="preserve">5.4 Soundness and Necessity</w:t>
      </w:r>
    </w:p>
    <w:p>
      <w:pPr>
        <w:pStyle w:val="FirstParagraph"/>
      </w:pPr>
      <w:r>
        <w:t xml:space="preserve">Pruning is only acceptable if it never loses a target that the exhaustive</w:t>
      </w:r>
      <w:r>
        <w:t xml:space="preserve"> </w:t>
      </w:r>
      <w:r>
        <w:t xml:space="preserve">traversal would find. We make precise which services this can be guaranteed for.</w:t>
      </w:r>
    </w:p>
    <w:p>
      <w:pPr>
        <w:pStyle w:val="BodyText"/>
      </w:pPr>
      <w:r>
        <w:rPr>
          <w:bCs/>
          <w:b/>
        </w:rPr>
        <w:t xml:space="preserve">Definition 5.2</w:t>
      </w:r>
      <w:r>
        <w:t xml:space="preserve"> </w:t>
      </w:r>
      <w:r>
        <w:t xml:space="preserve">(Schema conformance). A service</w:t>
      </w:r>
      <w:r>
        <w:t xml:space="preserve"> </w:t>
      </w:r>
      <m:oMath>
        <m:r>
          <m:t>G</m:t>
        </m:r>
      </m:oMath>
      <w:r>
        <w:t xml:space="preserve"> </w:t>
      </w:r>
      <w:r>
        <w:t xml:space="preserve">is</w:t>
      </w:r>
      <w:r>
        <w:t xml:space="preserve"> </w:t>
      </w:r>
      <w:r>
        <w:rPr>
          <w:iCs/>
          <w:i/>
        </w:rPr>
        <w:t xml:space="preserve">schema-conformant</w:t>
      </w:r>
      <w:r>
        <w:t xml:space="preserve"> </w:t>
      </w:r>
      <w:r>
        <w:t xml:space="preserve">with respect to</w:t>
      </w:r>
      <w:r>
        <w:t xml:space="preserve"> </w:t>
      </w:r>
      <m:oMath>
        <m:r>
          <m:t>H</m:t>
        </m:r>
      </m:oMath>
      <w:r>
        <w:t xml:space="preserve"> </w:t>
      </w:r>
      <w:r>
        <w:t xml:space="preserve">if every vertex</w:t>
      </w:r>
      <w:r>
        <w:t xml:space="preserve"> </w:t>
      </w:r>
      <m:oMath>
        <m:r>
          <m:t>v</m:t>
        </m:r>
        <m:r>
          <m:rPr>
            <m:sty m:val="p"/>
          </m:rPr>
          <m:t>∈</m:t>
        </m:r>
        <m:sSub>
          <m:e>
            <m:r>
              <m:t>V</m:t>
            </m:r>
          </m:e>
          <m:sub>
            <m:r>
              <m:t>c</m:t>
            </m:r>
          </m:sub>
        </m:sSub>
      </m:oMath>
      <w:r>
        <w:t xml:space="preserve"> </w:t>
      </w:r>
      <w:r>
        <w:t xml:space="preserve">has a type</w:t>
      </w:r>
      <w:r>
        <w:t xml:space="preserve"> </w:t>
      </w:r>
      <m:oMath>
        <m:r>
          <m:t>τ</m:t>
        </m:r>
        <m:d>
          <m:dPr>
            <m:begChr m:val="("/>
            <m:sepChr m:val=""/>
            <m:endChr m:val=")"/>
            <m:grow/>
          </m:dPr>
          <m:e>
            <m:r>
              <m:t>v</m:t>
            </m:r>
          </m:e>
        </m:d>
        <m:r>
          <m:rPr>
            <m:sty m:val="p"/>
          </m:rPr>
          <m:t>∈</m:t>
        </m:r>
        <m:r>
          <m:rPr>
            <m:scr m:val="script"/>
            <m:sty m:val="p"/>
          </m:rPr>
          <m:t>T</m:t>
        </m:r>
      </m:oMath>
      <w:r>
        <w:t xml:space="preserve">, and every containment edge</w:t>
      </w:r>
      <w:r>
        <w:t xml:space="preserve"> </w:t>
      </w:r>
      <m:oMath>
        <m:d>
          <m:dPr>
            <m:begChr m:val="("/>
            <m:sepChr m:val=""/>
            <m:endChr m:val=")"/>
            <m:grow/>
          </m:dPr>
          <m:e>
            <m:r>
              <m:t>u</m:t>
            </m:r>
            <m:r>
              <m:rPr>
                <m:sty m:val="p"/>
              </m:rPr>
              <m:t>,</m:t>
            </m:r>
            <m:r>
              <m:t>p</m:t>
            </m:r>
            <m:r>
              <m:rPr>
                <m:sty m:val="p"/>
              </m:rPr>
              <m:t>,</m:t>
            </m:r>
            <m:r>
              <m:t>π</m:t>
            </m:r>
            <m:r>
              <m:rPr>
                <m:sty m:val="p"/>
              </m:rPr>
              <m:t>,</m:t>
            </m:r>
            <m:r>
              <m:t>w</m:t>
            </m:r>
          </m:e>
        </m:d>
        <m:r>
          <m:rPr>
            <m:sty m:val="p"/>
          </m:rPr>
          <m:t>∈</m:t>
        </m:r>
        <m:sSub>
          <m:e>
            <m:r>
              <m:t>E</m:t>
            </m:r>
          </m:e>
          <m:sub>
            <m:r>
              <m:t>c</m:t>
            </m:r>
          </m:sub>
        </m:sSub>
      </m:oMath>
      <w:r>
        <w:t xml:space="preserve"> </w:t>
      </w:r>
      <w:r>
        <w:t xml:space="preserve">satisfies</w:t>
      </w:r>
      <w:r>
        <w:t xml:space="preserve"> </w:t>
      </w:r>
      <m:oMath>
        <m:r>
          <m:t>p</m:t>
        </m:r>
        <m:r>
          <m:rPr>
            <m:sty m:val="p"/>
          </m:rPr>
          <m:t>∈</m:t>
        </m:r>
        <m:r>
          <m:rPr>
            <m:sty m:val="p"/>
          </m:rPr>
          <m:t>D</m:t>
        </m:r>
        <m:r>
          <m:rPr>
            <m:sty m:val="p"/>
          </m:rPr>
          <m:t>e</m:t>
        </m:r>
        <m:r>
          <m:rPr>
            <m:sty m:val="p"/>
          </m:rPr>
          <m:t>c</m:t>
        </m:r>
        <m:r>
          <m:rPr>
            <m:sty m:val="p"/>
          </m:rPr>
          <m:t>l</m:t>
        </m:r>
        <m:d>
          <m:dPr>
            <m:begChr m:val="("/>
            <m:sepChr m:val=""/>
            <m:endChr m:val=")"/>
            <m:grow/>
          </m:dPr>
          <m:e>
            <m:r>
              <m:t>τ</m:t>
            </m:r>
            <m:d>
              <m:dPr>
                <m:begChr m:val="("/>
                <m:sepChr m:val=""/>
                <m:endChr m:val=")"/>
                <m:grow/>
              </m:dPr>
              <m:e>
                <m:r>
                  <m:t>u</m:t>
                </m:r>
              </m:e>
            </m:d>
          </m:e>
        </m:d>
      </m:oMath>
      <w:r>
        <w:t xml:space="preserve"> </w:t>
      </w:r>
      <w:r>
        <w:t xml:space="preserve">and</w:t>
      </w:r>
      <w:r>
        <w:t xml:space="preserve"> </w:t>
      </w:r>
      <m:oMath>
        <m:r>
          <m:t>τ</m:t>
        </m:r>
        <m:d>
          <m:dPr>
            <m:begChr m:val="("/>
            <m:sepChr m:val=""/>
            <m:endChr m:val=")"/>
            <m:grow/>
          </m:dPr>
          <m:e>
            <m:r>
              <m:t>w</m:t>
            </m:r>
          </m:e>
        </m:d>
        <m:r>
          <m:rPr>
            <m:sty m:val="p"/>
          </m:rPr>
          <m:t>∈</m:t>
        </m:r>
        <m:r>
          <m:t>H</m:t>
        </m:r>
        <m:d>
          <m:dPr>
            <m:begChr m:val="("/>
            <m:sepChr m:val=""/>
            <m:endChr m:val=")"/>
            <m:grow/>
          </m:dPr>
          <m:e>
            <m:r>
              <m:t>τ</m:t>
            </m:r>
            <m:d>
              <m:dPr>
                <m:begChr m:val="("/>
                <m:sepChr m:val=""/>
                <m:endChr m:val=")"/>
                <m:grow/>
              </m:dPr>
              <m:e>
                <m:r>
                  <m:t>u</m:t>
                </m:r>
              </m:e>
            </m:d>
            <m:r>
              <m:rPr>
                <m:sty m:val="p"/>
              </m:rPr>
              <m:t>,</m:t>
            </m:r>
            <m:r>
              <m:t>p</m:t>
            </m:r>
          </m:e>
        </m:d>
      </m:oMath>
      <w:r>
        <w:t xml:space="preserve">.</w:t>
      </w:r>
    </w:p>
    <w:p>
      <w:pPr>
        <w:pStyle w:val="BodyText"/>
      </w:pPr>
      <w:r>
        <w:t xml:space="preserve">Conformance is exactly what the Redfish Service Validator checks for each link:</w:t>
      </w:r>
      <w:r>
        <w:t xml:space="preserve"> </w:t>
      </w:r>
      <w:r>
        <w:t xml:space="preserve">the target of a navigation property has the type declared by the schema.</w:t>
      </w:r>
    </w:p>
    <w:p>
      <w:pPr>
        <w:pStyle w:val="BodyText"/>
      </w:pPr>
      <w:r>
        <w:rPr>
          <w:bCs/>
          <w:b/>
        </w:rPr>
        <w:t xml:space="preserve">Theorem 5.1</w:t>
      </w:r>
      <w:r>
        <w:t xml:space="preserve"> </w:t>
      </w:r>
      <w:r>
        <w:t xml:space="preserve">(Soundness). Let</w:t>
      </w:r>
      <w:r>
        <w:t xml:space="preserve"> </w:t>
      </w:r>
      <m:oMath>
        <m:r>
          <m:t>G</m:t>
        </m:r>
      </m:oMath>
      <w:r>
        <w:t xml:space="preserve"> </w:t>
      </w:r>
      <w:r>
        <w:t xml:space="preserve">be schema-conformant and let</w:t>
      </w:r>
      <w:r>
        <w:t xml:space="preserve"> </w:t>
      </w:r>
      <m:oMath>
        <m:sSubSup>
          <m:e>
            <m:r>
              <m:t>V</m:t>
            </m:r>
          </m:e>
          <m:sub>
            <m:r>
              <m:t>c</m:t>
            </m:r>
          </m:sub>
          <m:sup>
            <m:r>
              <m:t>X</m:t>
            </m:r>
          </m:sup>
        </m:sSubSup>
      </m:oMath>
      <w:r>
        <w:t xml:space="preserve"> </w:t>
      </w:r>
      <w:r>
        <w:t xml:space="preserve">be the set of vertices reachable from</w:t>
      </w:r>
      <w:r>
        <w:t xml:space="preserve"> </w:t>
      </w:r>
      <m:oMath>
        <m:r>
          <m:t>r</m:t>
        </m:r>
      </m:oMath>
      <w:r>
        <w:t xml:space="preserve"> </w:t>
      </w:r>
      <w:r>
        <w:t xml:space="preserve">in</w:t>
      </w:r>
      <w:r>
        <w:t xml:space="preserve"> </w:t>
      </w:r>
      <m:oMath>
        <m:sSub>
          <m:e>
            <m:r>
              <m:t>G</m:t>
            </m:r>
          </m:e>
          <m:sub>
            <m:r>
              <m:t>c</m:t>
            </m:r>
          </m:sub>
        </m:sSub>
      </m:oMath>
      <w:r>
        <w:t xml:space="preserve"> </w:t>
      </w:r>
      <w:r>
        <w:t xml:space="preserve">by paths whose inner vertices have types outside</w:t>
      </w:r>
      <w:r>
        <w:t xml:space="preserve"> </w:t>
      </w:r>
      <m:oMath>
        <m:r>
          <m:t>X</m:t>
        </m:r>
      </m:oMath>
      <w:r>
        <w:t xml:space="preserve">. Then for every</w:t>
      </w:r>
      <w:r>
        <w:t xml:space="preserve"> </w:t>
      </w:r>
      <w:r>
        <w:t xml:space="preserve">query</w:t>
      </w:r>
      <w:r>
        <w:t xml:space="preserve"> </w:t>
      </w:r>
      <m:oMath>
        <m:sSub>
          <m:e>
            <m:r>
              <m:t>Q</m:t>
            </m:r>
          </m:e>
          <m:sub>
            <m:r>
              <m:t>j</m:t>
            </m:r>
          </m:sub>
        </m:sSub>
      </m:oMath>
      <w:r>
        <w:t xml:space="preserve">, SP-BFS returns</w:t>
      </w:r>
    </w:p>
    <w:p>
      <w:pPr>
        <w:pStyle w:val="BodyText"/>
      </w:pPr>
      <m:oMathPara>
        <m:oMathParaPr>
          <m:jc m:val="center"/>
        </m:oMathParaPr>
        <m:oMath>
          <m:sSub>
            <m:e>
              <m:r>
                <m:rPr>
                  <m:scr m:val="script"/>
                  <m:sty m:val="p"/>
                </m:rPr>
                <m:t>R</m:t>
              </m:r>
            </m:e>
            <m:sub>
              <m:r>
                <m:t>j</m:t>
              </m:r>
            </m:sub>
          </m:sSub>
          <m:r>
            <m:t> </m:t>
          </m:r>
          <m:r>
            <m:rPr>
              <m:sty m:val="p"/>
            </m:rPr>
            <m:t>=</m:t>
          </m:r>
          <m:r>
            <m:t> </m:t>
          </m:r>
          <m:sSub>
            <m:e>
              <m:r>
                <m:rPr>
                  <m:scr m:val="script"/>
                  <m:sty m:val="p"/>
                </m:rPr>
                <m:t>A</m:t>
              </m:r>
            </m:e>
            <m:sub>
              <m:sSub>
                <m:e>
                  <m:r>
                    <m:t>Q</m:t>
                  </m:r>
                </m:e>
                <m:sub>
                  <m:r>
                    <m:t>j</m:t>
                  </m:r>
                </m:sub>
              </m:sSub>
            </m:sub>
          </m:sSub>
          <m:d>
            <m:dPr>
              <m:begChr m:val="("/>
              <m:sepChr m:val=""/>
              <m:endChr m:val=")"/>
              <m:grow/>
            </m:dPr>
            <m:e>
              <m:r>
                <m:t>G</m:t>
              </m:r>
            </m:e>
          </m:d>
          <m:r>
            <m:rPr>
              <m:sty m:val="p"/>
            </m:rPr>
            <m:t>∩</m:t>
          </m:r>
          <m:r>
            <m:rPr>
              <m:sty m:val="p"/>
            </m:rPr>
            <m:t>(</m:t>
          </m:r>
          <m:sSubSup>
            <m:e>
              <m:r>
                <m:t>V</m:t>
              </m:r>
            </m:e>
            <m:sub>
              <m:r>
                <m:t>c</m:t>
              </m:r>
            </m:sub>
            <m:sup>
              <m:r>
                <m:t>X</m:t>
              </m:r>
            </m:sup>
          </m:sSubSup>
          <m:r>
            <m:rPr>
              <m:sty m:val="p"/>
            </m:rPr>
            <m:t>∪</m:t>
          </m:r>
          <m:r>
            <m:rPr>
              <m:sty m:val="p"/>
            </m:rPr>
            <m:t>{</m:t>
          </m:r>
          <m:r>
            <m:t>ι</m:t>
          </m:r>
          <m:d>
            <m:dPr>
              <m:begChr m:val="("/>
              <m:sepChr m:val=""/>
              <m:endChr m:val=")"/>
              <m:grow/>
            </m:dPr>
            <m:e>
              <m:r>
                <m:t>v</m:t>
              </m:r>
              <m:r>
                <m:rPr>
                  <m:sty m:val="p"/>
                </m:rPr>
                <m:t>,</m:t>
              </m:r>
              <m:r>
                <m:t>a</m:t>
              </m:r>
              <m:r>
                <m:rPr>
                  <m:sty m:val="p"/>
                </m:rPr>
                <m:t>,</m:t>
              </m:r>
              <m:r>
                <m:t>i</m:t>
              </m:r>
            </m:e>
          </m:d>
          <m:r>
            <m:rPr>
              <m:sty m:val="p"/>
            </m:rPr>
            <m:t>:</m:t>
          </m:r>
          <m:r>
            <m:t>v</m:t>
          </m:r>
          <m:r>
            <m:rPr>
              <m:sty m:val="p"/>
            </m:rPr>
            <m:t>∈</m:t>
          </m:r>
          <m:sSubSup>
            <m:e>
              <m:r>
                <m:t>V</m:t>
              </m:r>
            </m:e>
            <m:sub>
              <m:r>
                <m:t>c</m:t>
              </m:r>
            </m:sub>
            <m:sup>
              <m:r>
                <m:t>X</m:t>
              </m:r>
            </m:sup>
          </m:sSubSup>
          <m:r>
            <m:rPr>
              <m:sty m:val="p"/>
            </m:rPr>
            <m:t>}</m:t>
          </m:r>
          <m:r>
            <m:rPr>
              <m:sty m:val="p"/>
            </m:rPr>
            <m:t>)</m:t>
          </m:r>
          <m:r>
            <m:rPr>
              <m:sty m:val="p"/>
            </m:rPr>
            <m:t>,</m:t>
          </m:r>
        </m:oMath>
      </m:oMathPara>
    </w:p>
    <w:p>
      <w:pPr>
        <w:pStyle w:val="FirstParagraph"/>
      </w:pPr>
      <w:r>
        <w:t xml:space="preserve">i.e. exactly the answers that Tree-BFS with the same exclusions returns.</w:t>
      </w:r>
    </w:p>
    <w:p>
      <w:pPr>
        <w:pStyle w:val="BodyText"/>
      </w:pPr>
      <w:r>
        <w:rPr>
          <w:iCs/>
          <w:i/>
        </w:rPr>
        <w:t xml:space="preserve">Proof.</w:t>
      </w:r>
      <w:r>
        <w:t xml:space="preserve"> </w:t>
      </w:r>
      <w:r>
        <w:rPr>
          <w:iCs/>
          <w:i/>
        </w:rPr>
        <w:t xml:space="preserve">(</w:t>
      </w:r>
      <m:oMath>
        <m:r>
          <m:rPr>
            <m:sty m:val="p"/>
          </m:rPr>
          <m:t>⊆</m:t>
        </m:r>
      </m:oMath>
      <w:r>
        <w:rPr>
          <w:iCs/>
          <w:i/>
        </w:rPr>
        <w:t xml:space="preserve">)</w:t>
      </w:r>
      <w:r>
        <w:t xml:space="preserve"> </w:t>
      </w:r>
      <w:r>
        <w:t xml:space="preserve">Every element added to</w:t>
      </w:r>
      <w:r>
        <w:t xml:space="preserve"> </w:t>
      </w:r>
      <m:oMath>
        <m:sSub>
          <m:e>
            <m:r>
              <m:rPr>
                <m:scr m:val="script"/>
                <m:sty m:val="p"/>
              </m:rPr>
              <m:t>R</m:t>
            </m:r>
          </m:e>
          <m:sub>
            <m:r>
              <m:t>j</m:t>
            </m:r>
          </m:sub>
        </m:sSub>
      </m:oMath>
      <w:r>
        <w:t xml:space="preserve"> </w:t>
      </w:r>
      <w:r>
        <w:t xml:space="preserve">satisfies the membership</w:t>
      </w:r>
      <w:r>
        <w:t xml:space="preserve"> </w:t>
      </w:r>
      <w:r>
        <w:t xml:space="preserve">condition of Eq. (4.5) for the body in which it was found, and every</w:t>
      </w:r>
      <w:r>
        <w:t xml:space="preserve"> </w:t>
      </w:r>
      <w:r>
        <w:t xml:space="preserve">fetched vertex is reached over containment edges from</w:t>
      </w:r>
      <w:r>
        <w:t xml:space="preserve"> </w:t>
      </w:r>
      <m:oMath>
        <m:r>
          <m:t>r</m:t>
        </m:r>
      </m:oMath>
      <w:r>
        <w:t xml:space="preserve"> </w:t>
      </w:r>
      <w:r>
        <w:t xml:space="preserve">without expanding an</w:t>
      </w:r>
      <w:r>
        <w:t xml:space="preserve"> </w:t>
      </w:r>
      <w:r>
        <w:t xml:space="preserve">excluded vertex.</w:t>
      </w:r>
    </w:p>
    <w:p>
      <w:pPr>
        <w:pStyle w:val="BodyText"/>
      </w:pPr>
      <w:r>
        <w:rPr>
          <w:iCs/>
          <w:i/>
        </w:rPr>
        <w:t xml:space="preserve">(</w:t>
      </w:r>
      <m:oMath>
        <m:r>
          <m:rPr>
            <m:sty m:val="p"/>
          </m:rPr>
          <m:t>⊇</m:t>
        </m:r>
      </m:oMath>
      <w:r>
        <w:rPr>
          <w:iCs/>
          <w:i/>
        </w:rPr>
        <w:t xml:space="preserve">)</w:t>
      </w:r>
      <w:r>
        <w:t xml:space="preserve"> </w:t>
      </w:r>
      <w:r>
        <w:t xml:space="preserve">Let</w:t>
      </w:r>
      <w:r>
        <w:t xml:space="preserve"> </w:t>
      </w:r>
      <m:oMath>
        <m:r>
          <m:t>v</m:t>
        </m:r>
        <m:r>
          <m:rPr>
            <m:sty m:val="p"/>
          </m:rPr>
          <m:t>∈</m:t>
        </m:r>
        <m:sSubSup>
          <m:e>
            <m:r>
              <m:t>V</m:t>
            </m:r>
          </m:e>
          <m:sub>
            <m:r>
              <m:t>c</m:t>
            </m:r>
          </m:sub>
          <m:sup>
            <m:r>
              <m:t>X</m:t>
            </m:r>
          </m:sup>
        </m:sSubSup>
      </m:oMath>
      <w:r>
        <w:t xml:space="preserve"> </w:t>
      </w:r>
      <w:r>
        <w:t xml:space="preserve">be a vertex whose body contributes an answer</w:t>
      </w:r>
      <w:r>
        <w:t xml:space="preserve"> </w:t>
      </w:r>
      <w:r>
        <w:t xml:space="preserve">to</w:t>
      </w:r>
      <w:r>
        <w:t xml:space="preserve"> </w:t>
      </w:r>
      <m:oMath>
        <m:sSub>
          <m:e>
            <m:r>
              <m:t>Q</m:t>
            </m:r>
          </m:e>
          <m:sub>
            <m:r>
              <m:t>j</m:t>
            </m:r>
          </m:sub>
        </m:sSub>
      </m:oMath>
      <w:r>
        <w:t xml:space="preserve">, i.e. </w:t>
      </w:r>
      <m:oMath>
        <m:r>
          <m:t>τ</m:t>
        </m:r>
        <m:d>
          <m:dPr>
            <m:begChr m:val="("/>
            <m:sepChr m:val=""/>
            <m:endChr m:val=")"/>
            <m:grow/>
          </m:dPr>
          <m:e>
            <m:r>
              <m:t>v</m:t>
            </m:r>
          </m:e>
        </m:d>
        <m:r>
          <m:rPr>
            <m:sty m:val="p"/>
          </m:rPr>
          <m:t>∈</m:t>
        </m:r>
        <m:r>
          <m:rPr>
            <m:sty m:val="p"/>
          </m:rPr>
          <m:t>Anc</m:t>
        </m:r>
        <m:d>
          <m:dPr>
            <m:begChr m:val="("/>
            <m:sepChr m:val=""/>
            <m:endChr m:val=")"/>
            <m:grow/>
          </m:dPr>
          <m:e>
            <m:sSub>
              <m:e>
                <m:r>
                  <m:t>Q</m:t>
                </m:r>
              </m:e>
              <m:sub>
                <m:r>
                  <m:t>j</m:t>
                </m:r>
              </m:sub>
            </m:sSub>
          </m:e>
        </m:d>
        <m:r>
          <m:rPr>
            <m:sty m:val="p"/>
          </m:rPr>
          <m:t>⊆</m:t>
        </m:r>
        <m:r>
          <m:t>A</m:t>
        </m:r>
      </m:oMath>
      <w:r>
        <w:t xml:space="preserve">. Choose a containment path</w:t>
      </w:r>
      <w:r>
        <w:t xml:space="preserve"> </w:t>
      </w:r>
      <m:oMath>
        <m:r>
          <m:t>r</m:t>
        </m:r>
        <m:r>
          <m:rPr>
            <m:sty m:val="p"/>
          </m:rPr>
          <m:t>=</m:t>
        </m:r>
        <m:sSub>
          <m:e>
            <m:r>
              <m:t>v</m:t>
            </m:r>
          </m:e>
          <m:sub>
            <m:r>
              <m:t>0</m:t>
            </m:r>
          </m:sub>
        </m:sSub>
        <m:limUpp>
          <m:e>
            <m:r>
              <m:rPr>
                <m:sty m:val="p"/>
              </m:rPr>
              <m:t>→</m:t>
            </m:r>
          </m:e>
          <m:lim>
            <m:sSub>
              <m:e>
                <m:r>
                  <m:t>p</m:t>
                </m:r>
              </m:e>
              <m:sub>
                <m:r>
                  <m:t>0</m:t>
                </m:r>
              </m:sub>
            </m:sSub>
          </m:lim>
        </m:limUpp>
        <m:sSub>
          <m:e>
            <m:r>
              <m:t>v</m:t>
            </m:r>
          </m:e>
          <m:sub>
            <m:r>
              <m:t>1</m:t>
            </m:r>
          </m:sub>
        </m:sSub>
        <m:limUpp>
          <m:e>
            <m:r>
              <m:rPr>
                <m:sty m:val="p"/>
              </m:rPr>
              <m:t>→</m:t>
            </m:r>
          </m:e>
          <m:lim>
            <m:sSub>
              <m:e>
                <m:r>
                  <m:t>p</m:t>
                </m:r>
              </m:e>
              <m:sub>
                <m:r>
                  <m:t>1</m:t>
                </m:r>
              </m:sub>
            </m:sSub>
          </m:lim>
        </m:limUpp>
        <m:r>
          <m:rPr>
            <m:sty m:val="p"/>
          </m:rPr>
          <m:t>⋯</m:t>
        </m:r>
        <m:limUpp>
          <m:e>
            <m:r>
              <m:rPr>
                <m:sty m:val="p"/>
              </m:rPr>
              <m:t>→</m:t>
            </m:r>
          </m:e>
          <m:lim>
            <m:sSub>
              <m:e>
                <m:r>
                  <m:t>p</m:t>
                </m:r>
              </m:e>
              <m:sub>
                <m:r>
                  <m:t>k</m:t>
                </m:r>
                <m:r>
                  <m:rPr>
                    <m:sty m:val="p"/>
                  </m:rPr>
                  <m:t>−</m:t>
                </m:r>
                <m:r>
                  <m:t>1</m:t>
                </m:r>
              </m:sub>
            </m:sSub>
          </m:lim>
        </m:limUpp>
        <m:sSub>
          <m:e>
            <m:r>
              <m:t>v</m:t>
            </m:r>
          </m:e>
          <m:sub>
            <m:r>
              <m:t>k</m:t>
            </m:r>
          </m:sub>
        </m:sSub>
        <m:r>
          <m:rPr>
            <m:sty m:val="p"/>
          </m:rPr>
          <m:t>=</m:t>
        </m:r>
        <m:r>
          <m:t>v</m:t>
        </m:r>
      </m:oMath>
      <w:r>
        <w:t xml:space="preserve"> </w:t>
      </w:r>
      <w:r>
        <w:t xml:space="preserve">with</w:t>
      </w:r>
      <w:r>
        <w:t xml:space="preserve"> </w:t>
      </w:r>
      <m:oMath>
        <m:r>
          <m:t>τ</m:t>
        </m:r>
        <m:d>
          <m:dPr>
            <m:begChr m:val="("/>
            <m:sepChr m:val=""/>
            <m:endChr m:val=")"/>
            <m:grow/>
          </m:dPr>
          <m:e>
            <m:sSub>
              <m:e>
                <m:r>
                  <m:t>v</m:t>
                </m:r>
              </m:e>
              <m:sub>
                <m:r>
                  <m:t>i</m:t>
                </m:r>
              </m:sub>
            </m:sSub>
          </m:e>
        </m:d>
        <m:r>
          <m:rPr>
            <m:sty m:val="p"/>
          </m:rPr>
          <m:t>∉</m:t>
        </m:r>
        <m:r>
          <m:t>X</m:t>
        </m:r>
      </m:oMath>
      <w:r>
        <w:t xml:space="preserve"> </w:t>
      </w:r>
      <w:r>
        <w:t xml:space="preserve">for</w:t>
      </w:r>
      <w:r>
        <w:t xml:space="preserve"> </w:t>
      </w:r>
      <m:oMath>
        <m:r>
          <m:t>0</m:t>
        </m:r>
        <m:r>
          <m:rPr>
            <m:sty m:val="p"/>
          </m:rPr>
          <m:t>&lt;</m:t>
        </m:r>
        <m:r>
          <m:t>i</m:t>
        </m:r>
        <m:r>
          <m:rPr>
            <m:sty m:val="p"/>
          </m:rPr>
          <m:t>&lt;</m:t>
        </m:r>
        <m:r>
          <m:t>k</m:t>
        </m:r>
      </m:oMath>
      <w:r>
        <w:t xml:space="preserve">. By conformance,</w:t>
      </w:r>
      <w:r>
        <w:t xml:space="preserve"> </w:t>
      </w:r>
      <m:oMath>
        <m:r>
          <m:t>τ</m:t>
        </m:r>
        <m:d>
          <m:dPr>
            <m:begChr m:val="("/>
            <m:sepChr m:val=""/>
            <m:endChr m:val=")"/>
            <m:grow/>
          </m:dPr>
          <m:e>
            <m:sSub>
              <m:e>
                <m:r>
                  <m:t>v</m:t>
                </m:r>
              </m:e>
              <m:sub>
                <m:r>
                  <m:t>i</m:t>
                </m:r>
                <m:r>
                  <m:rPr>
                    <m:sty m:val="p"/>
                  </m:rPr>
                  <m:t>+</m:t>
                </m:r>
                <m:r>
                  <m:t>1</m:t>
                </m:r>
              </m:sub>
            </m:sSub>
          </m:e>
        </m:d>
        <m:r>
          <m:rPr>
            <m:sty m:val="p"/>
          </m:rPr>
          <m:t>∈</m:t>
        </m:r>
        <m:r>
          <m:t>H</m:t>
        </m:r>
        <m:d>
          <m:dPr>
            <m:begChr m:val="("/>
            <m:sepChr m:val=""/>
            <m:endChr m:val=")"/>
            <m:grow/>
          </m:dPr>
          <m:e>
            <m:r>
              <m:t>τ</m:t>
            </m:r>
            <m:d>
              <m:dPr>
                <m:begChr m:val="("/>
                <m:sepChr m:val=""/>
                <m:endChr m:val=")"/>
                <m:grow/>
              </m:dPr>
              <m:e>
                <m:sSub>
                  <m:e>
                    <m:r>
                      <m:t>v</m:t>
                    </m:r>
                  </m:e>
                  <m:sub>
                    <m:r>
                      <m:t>i</m:t>
                    </m:r>
                  </m:sub>
                </m:sSub>
              </m:e>
            </m:d>
            <m:r>
              <m:rPr>
                <m:sty m:val="p"/>
              </m:rPr>
              <m:t>,</m:t>
            </m:r>
            <m:sSub>
              <m:e>
                <m:r>
                  <m:t>p</m:t>
                </m:r>
              </m:e>
              <m:sub>
                <m:r>
                  <m:t>i</m:t>
                </m:r>
              </m:sub>
            </m:sSub>
          </m:e>
        </m:d>
      </m:oMath>
      <w:r>
        <w:t xml:space="preserve"> </w:t>
      </w:r>
      <w:r>
        <w:t xml:space="preserve">for every</w:t>
      </w:r>
      <w:r>
        <w:t xml:space="preserve"> </w:t>
      </w:r>
      <m:oMath>
        <m:r>
          <m:t>i</m:t>
        </m:r>
      </m:oMath>
      <w:r>
        <w:t xml:space="preserve">, so the type sequence</w:t>
      </w:r>
      <w:r>
        <w:t xml:space="preserve"> </w:t>
      </w:r>
      <m:oMath>
        <m:r>
          <m:t>τ</m:t>
        </m:r>
        <m:d>
          <m:dPr>
            <m:begChr m:val="("/>
            <m:sepChr m:val=""/>
            <m:endChr m:val=")"/>
            <m:grow/>
          </m:dPr>
          <m:e>
            <m:sSub>
              <m:e>
                <m:r>
                  <m:t>v</m:t>
                </m:r>
              </m:e>
              <m:sub>
                <m:r>
                  <m:t>i</m:t>
                </m:r>
                <m:r>
                  <m:rPr>
                    <m:sty m:val="p"/>
                  </m:rPr>
                  <m:t>+</m:t>
                </m:r>
                <m:r>
                  <m:t>1</m:t>
                </m:r>
              </m:sub>
            </m:sSub>
          </m:e>
        </m:d>
        <m:r>
          <m:rPr>
            <m:sty m:val="p"/>
          </m:rPr>
          <m:t>,</m:t>
        </m:r>
        <m:r>
          <m:rPr>
            <m:sty m:val="p"/>
          </m:rPr>
          <m:t>…</m:t>
        </m:r>
        <m:r>
          <m:rPr>
            <m:sty m:val="p"/>
          </m:rPr>
          <m:t>,</m:t>
        </m:r>
        <m:r>
          <m:t>τ</m:t>
        </m:r>
        <m:d>
          <m:dPr>
            <m:begChr m:val="("/>
            <m:sepChr m:val=""/>
            <m:endChr m:val=")"/>
            <m:grow/>
          </m:dPr>
          <m:e>
            <m:sSub>
              <m:e>
                <m:r>
                  <m:t>v</m:t>
                </m:r>
              </m:e>
              <m:sub>
                <m:r>
                  <m:t>k</m:t>
                </m:r>
              </m:sub>
            </m:sSub>
          </m:e>
        </m:d>
      </m:oMath>
      <w:r>
        <w:t xml:space="preserve"> </w:t>
      </w:r>
      <w:r>
        <w:t xml:space="preserve">is a path in</w:t>
      </w:r>
      <w:r>
        <w:t xml:space="preserve"> </w:t>
      </w:r>
      <m:oMath>
        <m:r>
          <m:t>H</m:t>
        </m:r>
      </m:oMath>
      <w:r>
        <w:t xml:space="preserve"> </w:t>
      </w:r>
      <w:r>
        <w:t xml:space="preserve">that avoids</w:t>
      </w:r>
      <w:r>
        <w:t xml:space="preserve"> </w:t>
      </w:r>
      <m:oMath>
        <m:r>
          <m:t>X</m:t>
        </m:r>
      </m:oMath>
      <w:r>
        <w:t xml:space="preserve">, and</w:t>
      </w:r>
      <w:r>
        <w:t xml:space="preserve"> </w:t>
      </w:r>
      <w:r>
        <w:t xml:space="preserve">therefore</w:t>
      </w:r>
      <w:r>
        <w:t xml:space="preserve"> </w:t>
      </w:r>
      <m:oMath>
        <m:r>
          <m:t>τ</m:t>
        </m:r>
        <m:d>
          <m:dPr>
            <m:begChr m:val="("/>
            <m:sepChr m:val=""/>
            <m:endChr m:val=")"/>
            <m:grow/>
          </m:dPr>
          <m:e>
            <m:r>
              <m:t>v</m:t>
            </m:r>
          </m:e>
        </m:d>
        <m:r>
          <m:rPr>
            <m:sty m:val="p"/>
          </m:rPr>
          <m:t>∈</m:t>
        </m:r>
        <m:sSub>
          <m:e>
            <m:r>
              <m:rPr>
                <m:sty m:val="p"/>
              </m:rPr>
              <m:t>R</m:t>
            </m:r>
          </m:e>
          <m:sub>
            <m:r>
              <m:t>X</m:t>
            </m:r>
          </m:sub>
        </m:sSub>
        <m:d>
          <m:dPr>
            <m:begChr m:val="("/>
            <m:sepChr m:val=""/>
            <m:endChr m:val=")"/>
            <m:grow/>
          </m:dPr>
          <m:e>
            <m:r>
              <m:t>τ</m:t>
            </m:r>
            <m:d>
              <m:dPr>
                <m:begChr m:val="("/>
                <m:sepChr m:val=""/>
                <m:endChr m:val=")"/>
                <m:grow/>
              </m:dPr>
              <m:e>
                <m:sSub>
                  <m:e>
                    <m:r>
                      <m:t>v</m:t>
                    </m:r>
                  </m:e>
                  <m:sub>
                    <m:r>
                      <m:t>i</m:t>
                    </m:r>
                    <m:r>
                      <m:rPr>
                        <m:sty m:val="p"/>
                      </m:rPr>
                      <m:t>+</m:t>
                    </m:r>
                    <m:r>
                      <m:t>1</m:t>
                    </m:r>
                  </m:sub>
                </m:sSub>
              </m:e>
            </m:d>
          </m:e>
        </m:d>
      </m:oMath>
      <w:r>
        <w:t xml:space="preserve">. Hence</w:t>
      </w:r>
      <w:r>
        <w:t xml:space="preserve"> </w:t>
      </w:r>
      <m:oMath>
        <m:sSub>
          <m:e>
            <m:r>
              <m:rPr>
                <m:sty m:val="p"/>
              </m:rPr>
              <m:t>R</m:t>
            </m:r>
          </m:e>
          <m:sub>
            <m:r>
              <m:t>X</m:t>
            </m:r>
          </m:sub>
        </m:sSub>
        <m:d>
          <m:dPr>
            <m:begChr m:val="("/>
            <m:sepChr m:val=""/>
            <m:endChr m:val=")"/>
            <m:grow/>
          </m:dPr>
          <m:e>
            <m:r>
              <m:t>τ</m:t>
            </m:r>
            <m:d>
              <m:dPr>
                <m:begChr m:val="("/>
                <m:sepChr m:val=""/>
                <m:endChr m:val=")"/>
                <m:grow/>
              </m:dPr>
              <m:e>
                <m:sSub>
                  <m:e>
                    <m:r>
                      <m:t>v</m:t>
                    </m:r>
                  </m:e>
                  <m:sub>
                    <m:r>
                      <m:t>i</m:t>
                    </m:r>
                    <m:r>
                      <m:rPr>
                        <m:sty m:val="p"/>
                      </m:rPr>
                      <m:t>+</m:t>
                    </m:r>
                    <m:r>
                      <m:t>1</m:t>
                    </m:r>
                  </m:sub>
                </m:sSub>
              </m:e>
            </m:d>
          </m:e>
        </m:d>
        <m:r>
          <m:rPr>
            <m:sty m:val="p"/>
          </m:rPr>
          <m:t>∩</m:t>
        </m:r>
        <m:r>
          <m:t>A</m:t>
        </m:r>
        <m:r>
          <m:rPr>
            <m:sty m:val="p"/>
          </m:rPr>
          <m:t>∋</m:t>
        </m:r>
        <m:r>
          <m:t>τ</m:t>
        </m:r>
        <m:d>
          <m:dPr>
            <m:begChr m:val="("/>
            <m:sepChr m:val=""/>
            <m:endChr m:val=")"/>
            <m:grow/>
          </m:dPr>
          <m:e>
            <m:r>
              <m:t>v</m:t>
            </m:r>
          </m:e>
        </m:d>
      </m:oMath>
      <w:r>
        <w:t xml:space="preserve"> </w:t>
      </w:r>
      <w:r>
        <w:t xml:space="preserve">and</w:t>
      </w:r>
      <w:r>
        <w:t xml:space="preserve"> </w:t>
      </w:r>
      <m:oMath>
        <m:r>
          <m:rPr>
            <m:sty m:val="p"/>
          </m:rPr>
          <m:t>e</m:t>
        </m:r>
        <m:r>
          <m:rPr>
            <m:sty m:val="p"/>
          </m:rPr>
          <m:t>x</m:t>
        </m:r>
        <m:r>
          <m:rPr>
            <m:sty m:val="p"/>
          </m:rPr>
          <m:t>p</m:t>
        </m:r>
        <m:r>
          <m:rPr>
            <m:sty m:val="p"/>
          </m:rPr>
          <m:t>a</m:t>
        </m:r>
        <m:r>
          <m:rPr>
            <m:sty m:val="p"/>
          </m:rPr>
          <m:t>n</m:t>
        </m:r>
        <m:r>
          <m:rPr>
            <m:sty m:val="p"/>
          </m:rPr>
          <m:t>d</m:t>
        </m:r>
        <m:d>
          <m:dPr>
            <m:begChr m:val="("/>
            <m:sepChr m:val=""/>
            <m:endChr m:val=")"/>
            <m:grow/>
          </m:dPr>
          <m:e>
            <m:r>
              <m:t>τ</m:t>
            </m:r>
            <m:d>
              <m:dPr>
                <m:begChr m:val="("/>
                <m:sepChr m:val=""/>
                <m:endChr m:val=")"/>
                <m:grow/>
              </m:dPr>
              <m:e>
                <m:sSub>
                  <m:e>
                    <m:r>
                      <m:t>v</m:t>
                    </m:r>
                  </m:e>
                  <m:sub>
                    <m:r>
                      <m:t>i</m:t>
                    </m:r>
                  </m:sub>
                </m:sSub>
              </m:e>
            </m:d>
            <m:r>
              <m:rPr>
                <m:sty m:val="p"/>
              </m:rPr>
              <m:t>,</m:t>
            </m:r>
            <m:sSub>
              <m:e>
                <m:r>
                  <m:t>p</m:t>
                </m:r>
              </m:e>
              <m:sub>
                <m:r>
                  <m:t>i</m:t>
                </m:r>
              </m:sub>
            </m:sSub>
          </m:e>
        </m:d>
      </m:oMath>
      <w:r>
        <w:t xml:space="preserve"> </w:t>
      </w:r>
      <w:r>
        <w:t xml:space="preserve">is true for every edge of the path. Consequently every edge of the path lies in</w:t>
      </w:r>
      <w:r>
        <w:t xml:space="preserve"> </w:t>
      </w:r>
      <w:r>
        <w:t xml:space="preserve">the subgraph</w:t>
      </w:r>
      <w:r>
        <w:t xml:space="preserve"> </w:t>
      </w:r>
      <m:oMath>
        <m:r>
          <m:t>G</m:t>
        </m:r>
        <m:r>
          <m:rPr>
            <m:sty m:val="p"/>
          </m:rPr>
          <m:t>′</m:t>
        </m:r>
        <m:r>
          <m:rPr>
            <m:sty m:val="p"/>
          </m:rPr>
          <m:t>⊆</m:t>
        </m:r>
        <m:sSub>
          <m:e>
            <m:r>
              <m:t>G</m:t>
            </m:r>
          </m:e>
          <m:sub>
            <m:r>
              <m:t>c</m:t>
            </m:r>
          </m:sub>
        </m:sSub>
      </m:oMath>
      <w:r>
        <w:t xml:space="preserve"> </w:t>
      </w:r>
      <w:r>
        <w:t xml:space="preserve">of edges that Eq. (5.3) admits. SP-BFS is</w:t>
      </w:r>
      <w:r>
        <w:t xml:space="preserve"> </w:t>
      </w:r>
      <w:r>
        <w:t xml:space="preserve">a breadth-first search of</w:t>
      </w:r>
      <w:r>
        <w:t xml:space="preserve"> </w:t>
      </w:r>
      <m:oMath>
        <m:r>
          <m:t>G</m:t>
        </m:r>
        <m:r>
          <m:rPr>
            <m:sty m:val="p"/>
          </m:rPr>
          <m:t>′</m:t>
        </m:r>
      </m:oMath>
      <w:r>
        <w:t xml:space="preserve"> </w:t>
      </w:r>
      <w:r>
        <w:t xml:space="preserve">(rejected edges do not mark their target as seen),</w:t>
      </w:r>
      <w:r>
        <w:t xml:space="preserve"> </w:t>
      </w:r>
      <w:r>
        <w:t xml:space="preserve">so it fetches every vertex reachable from</w:t>
      </w:r>
      <w:r>
        <w:t xml:space="preserve"> </w:t>
      </w:r>
      <m:oMath>
        <m:r>
          <m:t>r</m:t>
        </m:r>
      </m:oMath>
      <w:r>
        <w:t xml:space="preserve"> </w:t>
      </w:r>
      <w:r>
        <w:t xml:space="preserve">in</w:t>
      </w:r>
      <w:r>
        <w:t xml:space="preserve"> </w:t>
      </w:r>
      <m:oMath>
        <m:r>
          <m:t>G</m:t>
        </m:r>
        <m:r>
          <m:rPr>
            <m:sty m:val="p"/>
          </m:rPr>
          <m:t>′</m:t>
        </m:r>
      </m:oMath>
      <w:r>
        <w:t xml:space="preserve">, in particular</w:t>
      </w:r>
      <w:r>
        <w:t xml:space="preserve"> </w:t>
      </w:r>
      <m:oMath>
        <m:r>
          <m:t>v</m:t>
        </m:r>
      </m:oMath>
      <w:r>
        <w:t xml:space="preserve">, and</w:t>
      </w:r>
      <w:r>
        <w:t xml:space="preserve"> </w:t>
      </w:r>
      <w:r>
        <w:t xml:space="preserve">evaluates</w:t>
      </w:r>
      <w:r>
        <w:t xml:space="preserve"> </w:t>
      </w:r>
      <m:oMath>
        <m:sSub>
          <m:e>
            <m:r>
              <m:t>Q</m:t>
            </m:r>
          </m:e>
          <m:sub>
            <m:r>
              <m:t>j</m:t>
            </m:r>
          </m:sub>
        </m:sSub>
      </m:oMath>
      <w:r>
        <w:t xml:space="preserve"> </w:t>
      </w:r>
      <w:r>
        <w:t xml:space="preserve">on</w:t>
      </w:r>
      <w:r>
        <w:t xml:space="preserve"> </w:t>
      </w:r>
      <m:oMath>
        <m:r>
          <m:t>β</m:t>
        </m:r>
        <m:d>
          <m:dPr>
            <m:begChr m:val="("/>
            <m:sepChr m:val=""/>
            <m:endChr m:val=")"/>
            <m:grow/>
          </m:dPr>
          <m:e>
            <m:r>
              <m:t>v</m:t>
            </m:r>
          </m:e>
        </m:d>
      </m:oMath>
      <w:r>
        <w:t xml:space="preserve">. ∎</w:t>
      </w:r>
    </w:p>
    <w:p>
      <w:pPr>
        <w:pStyle w:val="BodyText"/>
      </w:pPr>
      <w:r>
        <w:rPr>
          <w:bCs/>
          <w:b/>
        </w:rPr>
        <w:t xml:space="preserve">Corollary 5.2</w:t>
      </w:r>
      <w:r>
        <w:t xml:space="preserve">. On schema-conformant services, SP-BFS and Tree-BFS have identical recall and</w:t>
      </w:r>
      <w:r>
        <w:t xml:space="preserve"> </w:t>
      </w:r>
      <w:r>
        <w:t xml:space="preserve">precision for every query, and</w:t>
      </w:r>
      <w:r>
        <w:t xml:space="preserve"> </w:t>
      </w:r>
      <m:oMath>
        <m:sSub>
          <m:e>
            <m:r>
              <m:t>C</m:t>
            </m:r>
          </m:e>
          <m:sub>
            <m:r>
              <m:rPr>
                <m:nor/>
              </m:rPr>
              <m:t>SP-BFS</m:t>
            </m:r>
          </m:sub>
        </m:sSub>
        <m:r>
          <m:rPr>
            <m:sty m:val="p"/>
          </m:rPr>
          <m:t>≤</m:t>
        </m:r>
        <m:sSub>
          <m:e>
            <m:r>
              <m:t>C</m:t>
            </m:r>
          </m:e>
          <m:sub>
            <m:r>
              <m:rPr>
                <m:nor/>
              </m:rPr>
              <m:t>Tree-BFS</m:t>
            </m:r>
          </m:sub>
        </m:sSub>
      </m:oMath>
      <w:r>
        <w:t xml:space="preserve">.</w:t>
      </w:r>
    </w:p>
    <w:p>
      <w:pPr>
        <w:pStyle w:val="BodyText"/>
      </w:pPr>
      <w:r>
        <w:t xml:space="preserve">For non-conformant services the expansion rule is conservative wherever the</w:t>
      </w:r>
      <w:r>
        <w:t xml:space="preserve"> </w:t>
      </w:r>
      <w:r>
        <w:t xml:space="preserve">schema is silent (unknown types or properties). A target can then be lost only if</w:t>
      </w:r>
      <w:r>
        <w:t xml:space="preserve"> </w:t>
      </w:r>
      <w:r>
        <w:t xml:space="preserve">a service links it through a</w:t>
      </w:r>
      <w:r>
        <w:t xml:space="preserve"> </w:t>
      </w:r>
      <w:r>
        <w:rPr>
          <w:iCs/>
          <w:i/>
        </w:rPr>
        <w:t xml:space="preserve">declared</w:t>
      </w:r>
      <w:r>
        <w:t xml:space="preserve"> </w:t>
      </w:r>
      <w:r>
        <w:t xml:space="preserve">property whose schema says it</w:t>
      </w:r>
      <w:r>
        <w:t xml:space="preserve"> </w:t>
      </w:r>
      <w:r>
        <w:t xml:space="preserve">cannot lead there, i.e. through a genuine schema violation. Chapter 7</w:t>
      </w:r>
      <w:r>
        <w:t xml:space="preserve"> </w:t>
      </w:r>
      <w:r>
        <w:t xml:space="preserve">shows that this did not occur on any of the 26 services studied.</w:t>
      </w:r>
    </w:p>
    <w:p>
      <w:pPr>
        <w:pStyle w:val="BodyText"/>
      </w:pPr>
      <w:r>
        <w:t xml:space="preserve">Soundness says that SP-BFS fetches no less than necessary. The converse</w:t>
      </w:r>
      <w:r>
        <w:t xml:space="preserve"> </w:t>
      </w:r>
      <w:r>
        <w:t xml:space="preserve">question is whether it fetches more than necessary. Clearly it may: below a</w:t>
      </w:r>
      <w:r>
        <w:t xml:space="preserve"> </w:t>
      </w:r>
      <w:r>
        <w:rPr>
          <w:rStyle w:val="VerbatimChar"/>
        </w:rPr>
        <w:t xml:space="preserve">Processor</w:t>
      </w:r>
      <w:r>
        <w:t xml:space="preserve"> </w:t>
      </w:r>
      <w:r>
        <w:t xml:space="preserve">it still visits</w:t>
      </w:r>
      <w:r>
        <w:t xml:space="preserve"> </w:t>
      </w:r>
      <w:r>
        <w:rPr>
          <w:rStyle w:val="VerbatimChar"/>
        </w:rPr>
        <w:t xml:space="preserve">SubProcessors</w:t>
      </w:r>
      <w:r>
        <w:t xml:space="preserve">, because in principle a</w:t>
      </w:r>
      <w:r>
        <w:t xml:space="preserve"> </w:t>
      </w:r>
      <w:r>
        <w:t xml:space="preserve">processor can contain processors, even when the predicate excludes cores and</w:t>
      </w:r>
      <w:r>
        <w:t xml:space="preserve"> </w:t>
      </w:r>
      <w:r>
        <w:t xml:space="preserve">threads. The following proposition shows that such requests cannot be avoided by</w:t>
      </w:r>
      <w:r>
        <w:t xml:space="preserve"> </w:t>
      </w:r>
      <w:r>
        <w:t xml:space="preserve">any sound algorithm that has the same information.</w:t>
      </w:r>
    </w:p>
    <w:p>
      <w:pPr>
        <w:pStyle w:val="BodyText"/>
      </w:pPr>
      <w:r>
        <w:rPr>
          <w:bCs/>
          <w:b/>
        </w:rPr>
        <w:t xml:space="preserve">Proposition 5.3</w:t>
      </w:r>
      <w:r>
        <w:t xml:space="preserve"> </w:t>
      </w:r>
      <w:r>
        <w:t xml:space="preserve">(Necessity). Let</w:t>
      </w:r>
      <w:r>
        <w:t xml:space="preserve"> </w:t>
      </w:r>
      <m:oMath>
        <m:r>
          <m:rPr>
            <m:scr m:val="script"/>
            <m:sty m:val="p"/>
          </m:rPr>
          <m:t>B</m:t>
        </m:r>
      </m:oMath>
      <w:r>
        <w:t xml:space="preserve"> </w:t>
      </w:r>
      <w:r>
        <w:t xml:space="preserve">be any discovery algorithm that knows the schema</w:t>
      </w:r>
      <w:r>
        <w:t xml:space="preserve"> </w:t>
      </w:r>
      <m:oMath>
        <m:r>
          <m:t>H</m:t>
        </m:r>
      </m:oMath>
      <w:r>
        <w:t xml:space="preserve"> </w:t>
      </w:r>
      <w:r>
        <w:t xml:space="preserve">but, like</w:t>
      </w:r>
      <w:r>
        <w:t xml:space="preserve"> </w:t>
      </w:r>
      <w:r>
        <w:t xml:space="preserve">SP-BFS, learns about the service only by fetching resources, and that is sound</w:t>
      </w:r>
      <w:r>
        <w:t xml:space="preserve"> </w:t>
      </w:r>
      <w:r>
        <w:t xml:space="preserve">on all schema-conformant services. Suppose</w:t>
      </w:r>
      <w:r>
        <w:t xml:space="preserve"> </w:t>
      </w:r>
      <m:oMath>
        <m:r>
          <m:rPr>
            <m:scr m:val="script"/>
            <m:sty m:val="p"/>
          </m:rPr>
          <m:t>B</m:t>
        </m:r>
      </m:oMath>
      <w:r>
        <w:t xml:space="preserve"> </w:t>
      </w:r>
      <w:r>
        <w:t xml:space="preserve">has fetched</w:t>
      </w:r>
      <w:r>
        <w:t xml:space="preserve"> </w:t>
      </w:r>
      <m:oMath>
        <m:r>
          <m:t>u</m:t>
        </m:r>
      </m:oMath>
      <w:r>
        <w:t xml:space="preserve"> </w:t>
      </w:r>
      <w:r>
        <w:t xml:space="preserve">and</w:t>
      </w:r>
      <w:r>
        <w:t xml:space="preserve"> </w:t>
      </w:r>
      <m:oMath>
        <m:r>
          <m:t>β</m:t>
        </m:r>
        <m:d>
          <m:dPr>
            <m:begChr m:val="("/>
            <m:sepChr m:val=""/>
            <m:endChr m:val=")"/>
            <m:grow/>
          </m:dPr>
          <m:e>
            <m:r>
              <m:t>u</m:t>
            </m:r>
          </m:e>
        </m:d>
      </m:oMath>
      <w:r>
        <w:t xml:space="preserve"> </w:t>
      </w:r>
      <w:r>
        <w:t xml:space="preserve">contains a containment reference</w:t>
      </w:r>
      <w:r>
        <w:t xml:space="preserve"> </w:t>
      </w:r>
      <m:oMath>
        <m:d>
          <m:dPr>
            <m:begChr m:val="("/>
            <m:sepChr m:val=""/>
            <m:endChr m:val=")"/>
            <m:grow/>
          </m:dPr>
          <m:e>
            <m:r>
              <m:t>p</m:t>
            </m:r>
            <m:r>
              <m:rPr>
                <m:sty m:val="p"/>
              </m:rPr>
              <m:t>,</m:t>
            </m:r>
            <m:r>
              <m:t>π</m:t>
            </m:r>
            <m:r>
              <m:rPr>
                <m:sty m:val="p"/>
              </m:rPr>
              <m:t>,</m:t>
            </m:r>
            <m:r>
              <m:t>w</m:t>
            </m:r>
          </m:e>
        </m:d>
      </m:oMath>
      <w:r>
        <w:t xml:space="preserve"> </w:t>
      </w:r>
      <w:r>
        <w:t xml:space="preserve">with</w:t>
      </w:r>
      <w:r>
        <w:t xml:space="preserve"> </w:t>
      </w:r>
      <m:oMath>
        <m:r>
          <m:rPr>
            <m:sty m:val="p"/>
          </m:rPr>
          <m:t>e</m:t>
        </m:r>
        <m:r>
          <m:rPr>
            <m:sty m:val="p"/>
          </m:rPr>
          <m:t>x</m:t>
        </m:r>
        <m:r>
          <m:rPr>
            <m:sty m:val="p"/>
          </m:rPr>
          <m:t>p</m:t>
        </m:r>
        <m:r>
          <m:rPr>
            <m:sty m:val="p"/>
          </m:rPr>
          <m:t>a</m:t>
        </m:r>
        <m:r>
          <m:rPr>
            <m:sty m:val="p"/>
          </m:rPr>
          <m:t>n</m:t>
        </m:r>
        <m:r>
          <m:rPr>
            <m:sty m:val="p"/>
          </m:rPr>
          <m:t>d</m:t>
        </m:r>
        <m:d>
          <m:dPr>
            <m:begChr m:val="("/>
            <m:sepChr m:val=""/>
            <m:endChr m:val=")"/>
            <m:grow/>
          </m:dPr>
          <m:e>
            <m:r>
              <m:t>τ</m:t>
            </m:r>
            <m:d>
              <m:dPr>
                <m:begChr m:val="("/>
                <m:sepChr m:val=""/>
                <m:endChr m:val=")"/>
                <m:grow/>
              </m:dPr>
              <m:e>
                <m:r>
                  <m:t>u</m:t>
                </m:r>
              </m:e>
            </m:d>
            <m:r>
              <m:rPr>
                <m:sty m:val="p"/>
              </m:rPr>
              <m:t>,</m:t>
            </m:r>
            <m:r>
              <m:t>p</m:t>
            </m:r>
          </m:e>
        </m:d>
      </m:oMath>
      <w:r>
        <w:t xml:space="preserve"> </w:t>
      </w:r>
      <w:r>
        <w:t xml:space="preserve">true, and</w:t>
      </w:r>
      <w:r>
        <w:t xml:space="preserve"> </w:t>
      </w:r>
      <m:oMath>
        <m:r>
          <m:t>w</m:t>
        </m:r>
      </m:oMath>
      <w:r>
        <w:t xml:space="preserve"> </w:t>
      </w:r>
      <w:r>
        <w:t xml:space="preserve">is referenced by no other resource.</w:t>
      </w:r>
      <w:r>
        <w:t xml:space="preserve"> </w:t>
      </w:r>
      <w:r>
        <w:t xml:space="preserve">Then</w:t>
      </w:r>
      <w:r>
        <w:t xml:space="preserve"> </w:t>
      </w:r>
      <m:oMath>
        <m:r>
          <m:rPr>
            <m:scr m:val="script"/>
            <m:sty m:val="p"/>
          </m:rPr>
          <m:t>B</m:t>
        </m:r>
      </m:oMath>
      <w:r>
        <w:t xml:space="preserve"> </w:t>
      </w:r>
      <w:r>
        <w:t xml:space="preserve">must fetch</w:t>
      </w:r>
      <w:r>
        <w:t xml:space="preserve"> </w:t>
      </w:r>
      <m:oMath>
        <m:r>
          <m:t>w</m:t>
        </m:r>
      </m:oMath>
      <w:r>
        <w:t xml:space="preserve">.</w:t>
      </w:r>
    </w:p>
    <w:p>
      <w:pPr>
        <w:pStyle w:val="BodyText"/>
      </w:pPr>
      <w:r>
        <w:rPr>
          <w:iCs/>
          <w:i/>
        </w:rPr>
        <w:t xml:space="preserve">Proof sketch.</w:t>
      </w:r>
      <w:r>
        <w:t xml:space="preserve"> </w:t>
      </w:r>
      <w:r>
        <w:t xml:space="preserve">Since</w:t>
      </w:r>
      <w:r>
        <w:t xml:space="preserve"> </w:t>
      </w:r>
      <m:oMath>
        <m:r>
          <m:rPr>
            <m:sty m:val="p"/>
          </m:rPr>
          <m:t>e</m:t>
        </m:r>
        <m:r>
          <m:rPr>
            <m:sty m:val="p"/>
          </m:rPr>
          <m:t>x</m:t>
        </m:r>
        <m:r>
          <m:rPr>
            <m:sty m:val="p"/>
          </m:rPr>
          <m:t>p</m:t>
        </m:r>
        <m:r>
          <m:rPr>
            <m:sty m:val="p"/>
          </m:rPr>
          <m:t>a</m:t>
        </m:r>
        <m:r>
          <m:rPr>
            <m:sty m:val="p"/>
          </m:rPr>
          <m:t>n</m:t>
        </m:r>
        <m:r>
          <m:rPr>
            <m:sty m:val="p"/>
          </m:rPr>
          <m:t>d</m:t>
        </m:r>
        <m:d>
          <m:dPr>
            <m:begChr m:val="("/>
            <m:sepChr m:val=""/>
            <m:endChr m:val=")"/>
            <m:grow/>
          </m:dPr>
          <m:e>
            <m:r>
              <m:t>τ</m:t>
            </m:r>
            <m:d>
              <m:dPr>
                <m:begChr m:val="("/>
                <m:sepChr m:val=""/>
                <m:endChr m:val=")"/>
                <m:grow/>
              </m:dPr>
              <m:e>
                <m:r>
                  <m:t>u</m:t>
                </m:r>
              </m:e>
            </m:d>
            <m:r>
              <m:rPr>
                <m:sty m:val="p"/>
              </m:rPr>
              <m:t>,</m:t>
            </m:r>
            <m:r>
              <m:t>p</m:t>
            </m:r>
          </m:e>
        </m:d>
      </m:oMath>
      <w:r>
        <w:t xml:space="preserve"> </w:t>
      </w:r>
      <w:r>
        <w:t xml:space="preserve">holds, there is a type path</w:t>
      </w:r>
      <w:r>
        <w:t xml:space="preserve"> </w:t>
      </w:r>
      <m:oMath>
        <m:r>
          <m:t>t</m:t>
        </m:r>
        <m:r>
          <m:rPr>
            <m:sty m:val="p"/>
          </m:rPr>
          <m:t>′</m:t>
        </m:r>
        <m:r>
          <m:rPr>
            <m:sty m:val="p"/>
          </m:rPr>
          <m:t>=</m:t>
        </m:r>
        <m:sSub>
          <m:e>
            <m:r>
              <m:t>t</m:t>
            </m:r>
          </m:e>
          <m:sub>
            <m:r>
              <m:t>1</m:t>
            </m:r>
          </m:sub>
        </m:sSub>
        <m:r>
          <m:rPr>
            <m:sty m:val="p"/>
          </m:rPr>
          <m:t>→</m:t>
        </m:r>
        <m:sSub>
          <m:e>
            <m:r>
              <m:t>t</m:t>
            </m:r>
          </m:e>
          <m:sub>
            <m:r>
              <m:t>2</m:t>
            </m:r>
          </m:sub>
        </m:sSub>
        <m:r>
          <m:rPr>
            <m:sty m:val="p"/>
          </m:rPr>
          <m:t>→</m:t>
        </m:r>
        <m:r>
          <m:rPr>
            <m:sty m:val="p"/>
          </m:rPr>
          <m:t>…</m:t>
        </m:r>
        <m:r>
          <m:rPr>
            <m:sty m:val="p"/>
          </m:rPr>
          <m:t>→</m:t>
        </m:r>
        <m:sSub>
          <m:e>
            <m:r>
              <m:t>t</m:t>
            </m:r>
          </m:e>
          <m:sub>
            <m:r>
              <m:t>k</m:t>
            </m:r>
          </m:sub>
        </m:sSub>
        <m:r>
          <m:rPr>
            <m:sty m:val="p"/>
          </m:rPr>
          <m:t>∈</m:t>
        </m:r>
        <m:r>
          <m:t>A</m:t>
        </m:r>
      </m:oMath>
      <w:r>
        <w:t xml:space="preserve"> </w:t>
      </w:r>
      <w:r>
        <w:t xml:space="preserve">in</w:t>
      </w:r>
      <w:r>
        <w:t xml:space="preserve"> </w:t>
      </w:r>
      <m:oMath>
        <m:r>
          <m:t>H</m:t>
        </m:r>
      </m:oMath>
      <w:r>
        <w:t xml:space="preserve"> </w:t>
      </w:r>
      <w:r>
        <w:t xml:space="preserve">with</w:t>
      </w:r>
      <w:r>
        <w:t xml:space="preserve"> </w:t>
      </w:r>
      <m:oMath>
        <m:sSub>
          <m:e>
            <m:r>
              <m:t>t</m:t>
            </m:r>
          </m:e>
          <m:sub>
            <m:r>
              <m:t>1</m:t>
            </m:r>
          </m:sub>
        </m:sSub>
        <m:r>
          <m:rPr>
            <m:sty m:val="p"/>
          </m:rPr>
          <m:t>∈</m:t>
        </m:r>
        <m:r>
          <m:t>H</m:t>
        </m:r>
        <m:d>
          <m:dPr>
            <m:begChr m:val="("/>
            <m:sepChr m:val=""/>
            <m:endChr m:val=")"/>
            <m:grow/>
          </m:dPr>
          <m:e>
            <m:r>
              <m:t>τ</m:t>
            </m:r>
            <m:d>
              <m:dPr>
                <m:begChr m:val="("/>
                <m:sepChr m:val=""/>
                <m:endChr m:val=")"/>
                <m:grow/>
              </m:dPr>
              <m:e>
                <m:r>
                  <m:t>u</m:t>
                </m:r>
              </m:e>
            </m:d>
            <m:r>
              <m:rPr>
                <m:sty m:val="p"/>
              </m:rPr>
              <m:t>,</m:t>
            </m:r>
            <m:r>
              <m:t>p</m:t>
            </m:r>
          </m:e>
        </m:d>
      </m:oMath>
      <w:r>
        <w:t xml:space="preserve">.</w:t>
      </w:r>
      <w:r>
        <w:t xml:space="preserve"> </w:t>
      </w:r>
      <w:r>
        <w:t xml:space="preserve">Consider two services:</w:t>
      </w:r>
      <w:r>
        <w:t xml:space="preserve"> </w:t>
      </w:r>
      <m:oMath>
        <m:r>
          <m:t>G</m:t>
        </m:r>
      </m:oMath>
      <w:r>
        <w:t xml:space="preserve">, and</w:t>
      </w:r>
      <w:r>
        <w:t xml:space="preserve"> </w:t>
      </w:r>
      <m:oMath>
        <m:acc>
          <m:accPr>
            <m:chr m:val="̃"/>
          </m:accPr>
          <m:e>
            <m:r>
              <m:t>G</m:t>
            </m:r>
          </m:e>
        </m:acc>
      </m:oMath>
      <w:r>
        <w:t xml:space="preserve"> </w:t>
      </w:r>
      <w:r>
        <w:t xml:space="preserve">obtained from</w:t>
      </w:r>
      <w:r>
        <w:t xml:space="preserve"> </w:t>
      </w:r>
      <m:oMath>
        <m:r>
          <m:t>G</m:t>
        </m:r>
      </m:oMath>
      <w:r>
        <w:t xml:space="preserve"> </w:t>
      </w:r>
      <w:r>
        <w:t xml:space="preserve">by giving</w:t>
      </w:r>
      <w:r>
        <w:t xml:space="preserve"> </w:t>
      </w:r>
      <m:oMath>
        <m:r>
          <m:t>w</m:t>
        </m:r>
      </m:oMath>
      <w:r>
        <w:t xml:space="preserve"> </w:t>
      </w:r>
      <w:r>
        <w:t xml:space="preserve">the type</w:t>
      </w:r>
      <w:r>
        <w:t xml:space="preserve"> </w:t>
      </w:r>
      <m:oMath>
        <m:sSub>
          <m:e>
            <m:r>
              <m:t>t</m:t>
            </m:r>
          </m:e>
          <m:sub>
            <m:r>
              <m:t>1</m:t>
            </m:r>
          </m:sub>
        </m:sSub>
      </m:oMath>
      <w:r>
        <w:t xml:space="preserve"> </w:t>
      </w:r>
      <w:r>
        <w:t xml:space="preserve">and appending below</w:t>
      </w:r>
      <w:r>
        <w:t xml:space="preserve"> </w:t>
      </w:r>
      <m:oMath>
        <m:r>
          <m:t>w</m:t>
        </m:r>
      </m:oMath>
      <w:r>
        <w:t xml:space="preserve"> </w:t>
      </w:r>
      <w:r>
        <w:t xml:space="preserve">a fresh chain of resources of types</w:t>
      </w:r>
      <w:r>
        <w:t xml:space="preserve"> </w:t>
      </w:r>
      <m:oMath>
        <m:sSub>
          <m:e>
            <m:r>
              <m:t>t</m:t>
            </m:r>
          </m:e>
          <m:sub>
            <m:r>
              <m:t>2</m:t>
            </m:r>
          </m:sub>
        </m:sSub>
        <m:r>
          <m:rPr>
            <m:sty m:val="p"/>
          </m:rPr>
          <m:t>,</m:t>
        </m:r>
        <m:r>
          <m:rPr>
            <m:sty m:val="p"/>
          </m:rPr>
          <m:t>…</m:t>
        </m:r>
        <m:r>
          <m:rPr>
            <m:sty m:val="p"/>
          </m:rPr>
          <m:t>,</m:t>
        </m:r>
        <m:sSub>
          <m:e>
            <m:r>
              <m:t>t</m:t>
            </m:r>
          </m:e>
          <m:sub>
            <m:r>
              <m:t>k</m:t>
            </m:r>
          </m:sub>
        </m:sSub>
      </m:oMath>
      <w:r>
        <w:t xml:space="preserve">. Both services are schema-conformant, and they differ only at</w:t>
      </w:r>
      <w:r>
        <w:t xml:space="preserve"> </w:t>
      </w:r>
      <m:oMath>
        <m:r>
          <m:t>w</m:t>
        </m:r>
      </m:oMath>
      <w:r>
        <w:t xml:space="preserve"> </w:t>
      </w:r>
      <w:r>
        <w:t xml:space="preserve">and below it. If</w:t>
      </w:r>
      <w:r>
        <w:t xml:space="preserve"> </w:t>
      </w:r>
      <m:oMath>
        <m:r>
          <m:rPr>
            <m:scr m:val="script"/>
            <m:sty m:val="p"/>
          </m:rPr>
          <m:t>B</m:t>
        </m:r>
      </m:oMath>
      <w:r>
        <w:t xml:space="preserve"> </w:t>
      </w:r>
      <w:r>
        <w:t xml:space="preserve">does not fetch</w:t>
      </w:r>
      <w:r>
        <w:t xml:space="preserve"> </w:t>
      </w:r>
      <m:oMath>
        <m:r>
          <m:t>w</m:t>
        </m:r>
      </m:oMath>
      <w:r>
        <w:t xml:space="preserve">, it observes identical</w:t>
      </w:r>
      <w:r>
        <w:t xml:space="preserve"> </w:t>
      </w:r>
      <w:r>
        <w:t xml:space="preserve">responses on</w:t>
      </w:r>
      <w:r>
        <w:t xml:space="preserve"> </w:t>
      </w:r>
      <m:oMath>
        <m:r>
          <m:t>G</m:t>
        </m:r>
      </m:oMath>
      <w:r>
        <w:t xml:space="preserve"> </w:t>
      </w:r>
      <w:r>
        <w:t xml:space="preserve">and</w:t>
      </w:r>
      <w:r>
        <w:t xml:space="preserve"> </w:t>
      </w:r>
      <m:oMath>
        <m:acc>
          <m:accPr>
            <m:chr m:val="̃"/>
          </m:accPr>
          <m:e>
            <m:r>
              <m:t>G</m:t>
            </m:r>
          </m:e>
        </m:acc>
      </m:oMath>
      <w:r>
        <w:t xml:space="preserve"> </w:t>
      </w:r>
      <w:r>
        <w:t xml:space="preserve">and returns the same answer on both. But</w:t>
      </w:r>
      <w:r>
        <w:t xml:space="preserve"> </w:t>
      </w:r>
      <m:oMath>
        <m:acc>
          <m:accPr>
            <m:chr m:val="̃"/>
          </m:accPr>
          <m:e>
            <m:r>
              <m:t>G</m:t>
            </m:r>
          </m:e>
        </m:acc>
      </m:oMath>
      <w:r>
        <w:t xml:space="preserve"> </w:t>
      </w:r>
      <w:r>
        <w:t xml:space="preserve">contains an answer of type</w:t>
      </w:r>
      <w:r>
        <w:t xml:space="preserve"> </w:t>
      </w:r>
      <m:oMath>
        <m:sSub>
          <m:e>
            <m:r>
              <m:t>t</m:t>
            </m:r>
          </m:e>
          <m:sub>
            <m:r>
              <m:t>k</m:t>
            </m:r>
          </m:sub>
        </m:sSub>
      </m:oMath>
      <w:r>
        <w:t xml:space="preserve"> </w:t>
      </w:r>
      <w:r>
        <w:t xml:space="preserve">that</w:t>
      </w:r>
      <w:r>
        <w:t xml:space="preserve"> </w:t>
      </w:r>
      <m:oMath>
        <m:r>
          <m:t>G</m:t>
        </m:r>
      </m:oMath>
      <w:r>
        <w:t xml:space="preserve"> </w:t>
      </w:r>
      <w:r>
        <w:t xml:space="preserve">does not contain, so</w:t>
      </w:r>
      <w:r>
        <w:t xml:space="preserve"> </w:t>
      </w:r>
      <m:oMath>
        <m:r>
          <m:rPr>
            <m:scr m:val="script"/>
            <m:sty m:val="p"/>
          </m:rPr>
          <m:t>B</m:t>
        </m:r>
      </m:oMath>
      <w:r>
        <w:t xml:space="preserve"> </w:t>
      </w:r>
      <w:r>
        <w:t xml:space="preserve">is</w:t>
      </w:r>
      <w:r>
        <w:t xml:space="preserve"> </w:t>
      </w:r>
      <w:r>
        <w:t xml:space="preserve">unsound on one of them. ∎</w:t>
      </w:r>
    </w:p>
    <w:p>
      <w:pPr>
        <w:pStyle w:val="BodyText"/>
      </w:pPr>
      <w:r>
        <w:t xml:space="preserve">In this sense SP-BFS is</w:t>
      </w:r>
      <w:r>
        <w:t xml:space="preserve"> </w:t>
      </w:r>
      <w:r>
        <w:rPr>
          <w:iCs/>
          <w:i/>
        </w:rPr>
        <w:t xml:space="preserve">instance-optimal among schema-only algorithms</w:t>
      </w:r>
      <w:r>
        <w:t xml:space="preserve">:</w:t>
      </w:r>
      <w:r>
        <w:t xml:space="preserve"> </w:t>
      </w:r>
      <w:r>
        <w:t xml:space="preserve">every request it issues could have been the one leading to a target. The</w:t>
      </w:r>
      <w:r>
        <w:t xml:space="preserve"> </w:t>
      </w:r>
      <w:r>
        <w:t xml:space="preserve">remaining gap to a hand-written client comes from knowledge that is not in the</w:t>
      </w:r>
      <w:r>
        <w:t xml:space="preserve"> </w:t>
      </w:r>
      <w:r>
        <w:t xml:space="preserve">schema, e.g. that a vendor never puts drives under a composition resource</w:t>
      </w:r>
      <w:r>
        <w:t xml:space="preserve"> </w:t>
      </w:r>
      <w:r>
        <w:t xml:space="preserve">block. A hand-written client exploits such knowledge, and it is also what</w:t>
      </w:r>
      <w:r>
        <w:t xml:space="preserve"> </w:t>
      </w:r>
      <w:r>
        <w:t xml:space="preserve">breaks when that knowledge becomes wrong.</w:t>
      </w:r>
    </w:p>
    <w:bookmarkEnd w:id="53"/>
    <w:bookmarkStart w:id="54" w:name="cost"/>
    <w:p>
      <w:pPr>
        <w:pStyle w:val="Heading2"/>
      </w:pPr>
      <w:r>
        <w:t xml:space="preserve">5.5 Cost</w:t>
      </w:r>
    </w:p>
    <w:p>
      <w:pPr>
        <w:pStyle w:val="FirstParagraph"/>
      </w:pPr>
      <w:r>
        <w:t xml:space="preserve">Let</w:t>
      </w:r>
      <w:r>
        <w:t xml:space="preserve"> </w:t>
      </w:r>
      <m:oMath>
        <m:r>
          <m:t>V</m:t>
        </m:r>
        <m:r>
          <m:rPr>
            <m:sty m:val="p"/>
          </m:rPr>
          <m:t>′</m:t>
        </m:r>
        <m:r>
          <m:rPr>
            <m:sty m:val="p"/>
          </m:rPr>
          <m:t>⊆</m:t>
        </m:r>
        <m:sSub>
          <m:e>
            <m:r>
              <m:t>V</m:t>
            </m:r>
          </m:e>
          <m:sub>
            <m:r>
              <m:t>c</m:t>
            </m:r>
          </m:sub>
        </m:sSub>
      </m:oMath>
      <w:r>
        <w:t xml:space="preserve"> </w:t>
      </w:r>
      <w:r>
        <w:t xml:space="preserve">be the vertices reachable from</w:t>
      </w:r>
      <w:r>
        <w:t xml:space="preserve"> </w:t>
      </w:r>
      <m:oMath>
        <m:r>
          <m:t>r</m:t>
        </m:r>
      </m:oMath>
      <w:r>
        <w:t xml:space="preserve"> </w:t>
      </w:r>
      <w:r>
        <w:t xml:space="preserve">in the admissible</w:t>
      </w:r>
      <w:r>
        <w:t xml:space="preserve"> </w:t>
      </w:r>
      <w:r>
        <w:t xml:space="preserve">subgraph</w:t>
      </w:r>
      <w:r>
        <w:t xml:space="preserve"> </w:t>
      </w:r>
      <m:oMath>
        <m:r>
          <m:t>G</m:t>
        </m:r>
        <m:r>
          <m:rPr>
            <m:sty m:val="p"/>
          </m:rPr>
          <m:t>′</m:t>
        </m:r>
      </m:oMath>
      <w:r>
        <w:t xml:space="preserve">. The request cost of SP-BFS is exactly</w:t>
      </w:r>
    </w:p>
    <w:p>
      <w:pPr>
        <w:tabs>
          <w:tab w:val="center" w:pos="4309"/>
          <w:tab w:val="right" w:pos="8618"/>
        </w:tabs>
        <w:spacing w:before="120" w:after="120"/>
      </w:pPr>
      <w:r>
        <w:tab/>
      </w:r>
      <m:oMath>
        <m:sSub>
          <m:e>
            <m:r>
              <m:t>C</m:t>
            </m:r>
          </m:e>
          <m:sub>
            <m:r>
              <m:rPr>
                <m:nor/>
              </m:rPr>
              <m:t>SP-BFS</m:t>
            </m:r>
          </m:sub>
        </m:sSub>
        <m:r>
          <m:rPr>
            <m:sty m:val="p"/>
          </m:rPr>
          <m:t>=</m:t>
        </m:r>
        <m:d>
          <m:dPr>
            <m:begChr m:val="|"/>
            <m:sepChr m:val=""/>
            <m:endChr m:val="|"/>
            <m:grow/>
          </m:dPr>
          <m:e>
            <m:r>
              <m:t>V</m:t>
            </m:r>
            <m:r>
              <m:rPr>
                <m:sty m:val="p"/>
              </m:rPr>
              <m:t>′</m:t>
            </m:r>
          </m:e>
        </m:d>
        <m:r>
          <m:t> </m:t>
        </m:r>
        <m:r>
          <m:rPr>
            <m:sty m:val="p"/>
          </m:rPr>
          <m:t>≤</m:t>
        </m:r>
        <m:r>
          <m:t> </m:t>
        </m:r>
        <m:d>
          <m:dPr>
            <m:begChr m:val="|"/>
            <m:sepChr m:val=""/>
            <m:endChr m:val="|"/>
            <m:grow/>
          </m:dPr>
          <m:e>
            <m:sSub>
              <m:e>
                <m:r>
                  <m:t>V</m:t>
                </m:r>
              </m:e>
              <m:sub>
                <m:r>
                  <m:t>c</m:t>
                </m:r>
              </m:sub>
            </m:sSub>
          </m:e>
        </m:d>
        <m:r>
          <m:rPr>
            <m:sty m:val="p"/>
          </m:rPr>
          <m:t>=</m:t>
        </m:r>
        <m:sSub>
          <m:e>
            <m:r>
              <m:t>C</m:t>
            </m:r>
          </m:e>
          <m:sub>
            <m:r>
              <m:rPr>
                <m:nor/>
              </m:rPr>
              <m:t>Tree-BFS</m:t>
            </m:r>
          </m:sub>
        </m:sSub>
      </m:oMath>
      <w:r>
        <w:tab/>
        <w:t>(5.4)</w:t>
      </w:r>
    </w:p>
    <w:p>
      <w:pPr>
        <w:pStyle w:val="FirstParagraph"/>
      </w:pPr>
      <w:r>
        <w:t xml:space="preserve">and its computation time is</w:t>
      </w:r>
      <w:r>
        <w:t xml:space="preserve"> </w:t>
      </w:r>
      <m:oMath>
        <m:r>
          <m:t>O</m:t>
        </m:r>
        <m:d>
          <m:dPr>
            <m:begChr m:val="("/>
            <m:sepChr m:val=""/>
            <m:endChr m:val=")"/>
            <m:grow/>
          </m:dPr>
          <m:e>
            <m:d>
              <m:dPr>
                <m:begChr m:val="|"/>
                <m:sepChr m:val=""/>
                <m:endChr m:val="|"/>
                <m:grow/>
              </m:dPr>
              <m:e>
                <m:r>
                  <m:t>V</m:t>
                </m:r>
                <m:r>
                  <m:rPr>
                    <m:sty m:val="p"/>
                  </m:rPr>
                  <m:t>′</m:t>
                </m:r>
              </m:e>
            </m:d>
            <m:r>
              <m:rPr>
                <m:sty m:val="p"/>
              </m:rPr>
              <m:t>+</m:t>
            </m:r>
            <m:d>
              <m:dPr>
                <m:begChr m:val="|"/>
                <m:sepChr m:val=""/>
                <m:endChr m:val="|"/>
                <m:grow/>
              </m:dPr>
              <m:e>
                <m:r>
                  <m:t>E</m:t>
                </m:r>
                <m:r>
                  <m:rPr>
                    <m:sty m:val="p"/>
                  </m:rPr>
                  <m:t>′</m:t>
                </m:r>
              </m:e>
            </m:d>
          </m:e>
        </m:d>
      </m:oMath>
      <w:r>
        <w:t xml:space="preserve"> </w:t>
      </w:r>
      <w:r>
        <w:t xml:space="preserve">for the traversal plus the one-off</w:t>
      </w:r>
      <w:r>
        <w:t xml:space="preserve"> </w:t>
      </w:r>
      <w:r>
        <w:t xml:space="preserve">closure computations. With per-request latency</w:t>
      </w:r>
      <w:r>
        <w:t xml:space="preserve"> </w:t>
      </w:r>
      <m:oMath>
        <m:r>
          <m:rPr>
            <m:sty m:val="p"/>
          </m:rPr>
          <m:t>ℓ</m:t>
        </m:r>
      </m:oMath>
      <w:r>
        <w:t xml:space="preserve"> </w:t>
      </w:r>
      <w:r>
        <w:t xml:space="preserve">and sequential</w:t>
      </w:r>
      <w:r>
        <w:t xml:space="preserve"> </w:t>
      </w:r>
      <w:r>
        <w:t xml:space="preserve">requests, the discovery time is</w:t>
      </w:r>
      <w:r>
        <w:t xml:space="preserve"> </w:t>
      </w:r>
      <m:oMath>
        <m:r>
          <m:t>C</m:t>
        </m:r>
        <m:r>
          <m:rPr>
            <m:sty m:val="p"/>
          </m:rPr>
          <m:t>⋅</m:t>
        </m:r>
        <m:r>
          <m:rPr>
            <m:sty m:val="p"/>
          </m:rPr>
          <m:t>ℓ</m:t>
        </m:r>
      </m:oMath>
      <w:r>
        <w:t xml:space="preserve">. We report the</w:t>
      </w:r>
      <w:r>
        <w:t xml:space="preserve"> </w:t>
      </w:r>
      <w:r>
        <w:rPr>
          <w:iCs/>
          <w:i/>
        </w:rPr>
        <w:t xml:space="preserve">pruning</w:t>
      </w:r>
      <w:r>
        <w:rPr>
          <w:iCs/>
          <w:i/>
        </w:rPr>
        <w:t xml:space="preserve"> </w:t>
      </w:r>
      <w:r>
        <w:rPr>
          <w:iCs/>
          <w:i/>
        </w:rPr>
        <w:t xml:space="preserve">ratio</w:t>
      </w:r>
    </w:p>
    <w:p>
      <w:pPr>
        <w:tabs>
          <w:tab w:val="center" w:pos="4309"/>
          <w:tab w:val="right" w:pos="8618"/>
        </w:tabs>
        <w:spacing w:before="120" w:after="120"/>
      </w:pPr>
      <w:r>
        <w:tab/>
      </w:r>
      <m:oMath>
        <m:r>
          <m:t>ρ</m:t>
        </m:r>
        <m:r>
          <m:rPr>
            <m:sty m:val="p"/>
          </m:rPr>
          <m:t>=</m:t>
        </m:r>
        <m:f>
          <m:fPr>
            <m:type m:val="bar"/>
          </m:fPr>
          <m:num>
            <m:sSub>
              <m:e>
                <m:r>
                  <m:t>C</m:t>
                </m:r>
              </m:e>
              <m:sub>
                <m:r>
                  <m:rPr>
                    <m:nor/>
                  </m:rPr>
                  <m:t>SP-BFS</m:t>
                </m:r>
              </m:sub>
            </m:sSub>
          </m:num>
          <m:den>
            <m:sSub>
              <m:e>
                <m:r>
                  <m:t>C</m:t>
                </m:r>
              </m:e>
              <m:sub>
                <m:r>
                  <m:rPr>
                    <m:nor/>
                  </m:rPr>
                  <m:t>Tree-BFS</m:t>
                </m:r>
              </m:sub>
            </m:sSub>
          </m:den>
        </m:f>
        <m:r>
          <m:rPr>
            <m:sty m:val="p"/>
          </m:rPr>
          <m:t>,</m:t>
        </m:r>
        <m:r>
          <m:t> </m:t>
        </m:r>
        <m:r>
          <m:t>0</m:t>
        </m:r>
        <m:r>
          <m:rPr>
            <m:sty m:val="p"/>
          </m:rPr>
          <m:t>&lt;</m:t>
        </m:r>
        <m:r>
          <m:t>ρ</m:t>
        </m:r>
        <m:r>
          <m:rPr>
            <m:sty m:val="p"/>
          </m:rPr>
          <m:t>≤</m:t>
        </m:r>
        <m:r>
          <m:t>1</m:t>
        </m:r>
      </m:oMath>
      <w:r>
        <w:tab/>
        <w:t>(5.5)</w:t>
      </w:r>
    </w:p>
    <w:p>
      <w:pPr>
        <w:pStyle w:val="FirstParagraph"/>
      </w:pPr>
      <w:r>
        <w:t xml:space="preserve">and aggregate it over services by the geometric mean, which is the appropriate</w:t>
      </w:r>
      <w:r>
        <w:t xml:space="preserve"> </w:t>
      </w:r>
      <w:r>
        <w:t xml:space="preserve">mean for ratios.</w:t>
      </w:r>
    </w:p>
    <w:p>
      <w:pPr>
        <w:pStyle w:val="BodyText"/>
      </w:pPr>
      <w:r>
        <w:t xml:space="preserve">A lower bound for</w:t>
      </w:r>
      <w:r>
        <w:t xml:space="preserve"> </w:t>
      </w:r>
      <w:r>
        <w:rPr>
          <w:iCs/>
          <w:i/>
        </w:rPr>
        <w:t xml:space="preserve">any</w:t>
      </w:r>
      <w:r>
        <w:t xml:space="preserve"> </w:t>
      </w:r>
      <w:r>
        <w:t xml:space="preserve">discovery algorithm is the size of the union of</w:t>
      </w:r>
      <w:r>
        <w:t xml:space="preserve"> </w:t>
      </w:r>
      <w:r>
        <w:t xml:space="preserve">the shortest paths from</w:t>
      </w:r>
      <w:r>
        <w:t xml:space="preserve"> </w:t>
      </w:r>
      <m:oMath>
        <m:r>
          <m:t>r</m:t>
        </m:r>
      </m:oMath>
      <w:r>
        <w:t xml:space="preserve"> </w:t>
      </w:r>
      <w:r>
        <w:t xml:space="preserve">to the answer-bearing vertices, because each vertex</w:t>
      </w:r>
      <w:r>
        <w:t xml:space="preserve"> </w:t>
      </w:r>
      <w:r>
        <w:t xml:space="preserve">on such a path must be fetched to learn the next link. For the query</w:t>
      </w:r>
      <w:r>
        <w:t xml:space="preserve"> </w:t>
      </w:r>
      <w:r>
        <w:t xml:space="preserve">“</w:t>
      </w:r>
      <w:r>
        <w:t xml:space="preserve">all power</w:t>
      </w:r>
      <w:r>
        <w:t xml:space="preserve"> </w:t>
      </w:r>
      <w:r>
        <w:t xml:space="preserve">supplies</w:t>
      </w:r>
      <w:r>
        <w:t xml:space="preserve">”</w:t>
      </w:r>
      <w:r>
        <w:t xml:space="preserve"> </w:t>
      </w:r>
      <w:r>
        <w:t xml:space="preserve">on a modern service this is typically</w:t>
      </w:r>
      <w:r>
        <w:t xml:space="preserve"> </w:t>
      </w:r>
      <m:oMath>
        <m:r>
          <m:rPr>
            <m:sty m:val="p"/>
          </m:rPr>
          <m:t>{</m:t>
        </m:r>
        <m:r>
          <m:t>r</m:t>
        </m:r>
        <m:r>
          <m:rPr>
            <m:sty m:val="p"/>
          </m:rPr>
          <m:t>,</m:t>
        </m:r>
        <m:r>
          <m:rPr>
            <m:nor/>
          </m:rPr>
          <m:t>Chassis</m:t>
        </m:r>
        <m:r>
          <m:rPr>
            <m:sty m:val="p"/>
          </m:rPr>
          <m:t>,</m:t>
        </m:r>
        <m:r>
          <m:rPr>
            <m:nor/>
          </m:rPr>
          <m:t>Chassis/1</m:t>
        </m:r>
        <m:r>
          <m:rPr>
            <m:sty m:val="p"/>
          </m:rPr>
          <m:t>,</m:t>
        </m:r>
        <m:r>
          <m:rPr>
            <m:nor/>
          </m:rPr>
          <m:t>PowerSubsystem</m:t>
        </m:r>
        <m:r>
          <m:rPr>
            <m:sty m:val="p"/>
          </m:rPr>
          <m:t>,</m:t>
        </m:r>
        <m:r>
          <m:rPr>
            <m:nor/>
          </m:rPr>
          <m:t>PowerSupplies</m:t>
        </m:r>
        <m:r>
          <m:rPr>
            <m:sty m:val="p"/>
          </m:rPr>
          <m:t>}</m:t>
        </m:r>
      </m:oMath>
      <w:r>
        <w:t xml:space="preserve"> </w:t>
      </w:r>
      <w:r>
        <w:t xml:space="preserve">plus</w:t>
      </w:r>
      <w:r>
        <w:t xml:space="preserve"> </w:t>
      </w:r>
      <w:r>
        <w:t xml:space="preserve">one request per supply, i.e. </w:t>
      </w:r>
      <m:oMath>
        <m:r>
          <m:t>4</m:t>
        </m:r>
        <m:r>
          <m:rPr>
            <m:sty m:val="p"/>
          </m:rPr>
          <m:t>+</m:t>
        </m:r>
        <m:sSub>
          <m:e>
            <m:r>
              <m:t>n</m:t>
            </m:r>
          </m:e>
          <m:sub>
            <m:r>
              <m:rPr>
                <m:sty m:val="p"/>
              </m:rPr>
              <m:t>P</m:t>
            </m:r>
            <m:r>
              <m:rPr>
                <m:sty m:val="p"/>
              </m:rPr>
              <m:t>S</m:t>
            </m:r>
            <m:r>
              <m:rPr>
                <m:sty m:val="p"/>
              </m:rPr>
              <m:t>U</m:t>
            </m:r>
          </m:sub>
        </m:sSub>
      </m:oMath>
      <w:r>
        <w:t xml:space="preserve"> </w:t>
      </w:r>
      <w:r>
        <w:t xml:space="preserve">requests.</w:t>
      </w:r>
    </w:p>
    <w:bookmarkEnd w:id="54"/>
    <w:bookmarkStart w:id="55" w:name="level-synchronous-parallelism"/>
    <w:p>
      <w:pPr>
        <w:pStyle w:val="Heading2"/>
      </w:pPr>
      <w:r>
        <w:t xml:space="preserve">5.6 Level-Synchronous Parallelism</w:t>
      </w:r>
    </w:p>
    <w:p>
      <w:pPr>
        <w:pStyle w:val="FirstParagraph"/>
      </w:pPr>
      <w:r>
        <w:t xml:space="preserve">BFS processes the tree level by level. All vertices of level</w:t>
      </w:r>
      <w:r>
        <w:t xml:space="preserve"> </w:t>
      </w:r>
      <m:oMath>
        <m:sSub>
          <m:e>
            <m:r>
              <m:t>L</m:t>
            </m:r>
          </m:e>
          <m:sub>
            <m:r>
              <m:t>k</m:t>
            </m:r>
          </m:sub>
        </m:sSub>
      </m:oMath>
      <w:r>
        <w:t xml:space="preserve"> </w:t>
      </w:r>
      <w:r>
        <w:t xml:space="preserve">are known</w:t>
      </w:r>
      <w:r>
        <w:t xml:space="preserve"> </w:t>
      </w:r>
      <w:r>
        <w:t xml:space="preserve">before any vertex of</w:t>
      </w:r>
      <w:r>
        <w:t xml:space="preserve"> </w:t>
      </w:r>
      <m:oMath>
        <m:sSub>
          <m:e>
            <m:r>
              <m:t>L</m:t>
            </m:r>
          </m:e>
          <m:sub>
            <m:r>
              <m:t>k</m:t>
            </m:r>
            <m:r>
              <m:rPr>
                <m:sty m:val="p"/>
              </m:rPr>
              <m:t>+</m:t>
            </m:r>
            <m:r>
              <m:t>1</m:t>
            </m:r>
          </m:sub>
        </m:sSub>
      </m:oMath>
      <w:r>
        <w:t xml:space="preserve"> </w:t>
      </w:r>
      <w:r>
        <w:t xml:space="preserve">is fetched, so the requests of one level are</w:t>
      </w:r>
      <w:r>
        <w:t xml:space="preserve"> </w:t>
      </w:r>
      <w:r>
        <w:t xml:space="preserve">independent and can be issued concurrently. Let</w:t>
      </w:r>
      <w:r>
        <w:t xml:space="preserve"> </w:t>
      </w:r>
      <m:oMath>
        <m:sSub>
          <m:e>
            <m:r>
              <m:t>n</m:t>
            </m:r>
          </m:e>
          <m:sub>
            <m:r>
              <m:t>k</m:t>
            </m:r>
          </m:sub>
        </m:sSub>
        <m:r>
          <m:rPr>
            <m:sty m:val="p"/>
          </m:rPr>
          <m:t>=</m:t>
        </m:r>
        <m:d>
          <m:dPr>
            <m:begChr m:val="|"/>
            <m:sepChr m:val=""/>
            <m:endChr m:val="|"/>
            <m:grow/>
          </m:dPr>
          <m:e>
            <m:sSub>
              <m:e>
                <m:r>
                  <m:t>L</m:t>
                </m:r>
              </m:e>
              <m:sub>
                <m:r>
                  <m:t>k</m:t>
                </m:r>
              </m:sub>
            </m:sSub>
            <m:r>
              <m:rPr>
                <m:sty m:val="p"/>
              </m:rPr>
              <m:t>∩</m:t>
            </m:r>
            <m:r>
              <m:t>V</m:t>
            </m:r>
            <m:r>
              <m:rPr>
                <m:sty m:val="p"/>
              </m:rPr>
              <m:t>′</m:t>
            </m:r>
          </m:e>
        </m:d>
      </m:oMath>
      <w:r>
        <w:t xml:space="preserve"> </w:t>
      </w:r>
      <w:r>
        <w:t xml:space="preserve">and let</w:t>
      </w:r>
      <w:r>
        <w:t xml:space="preserve"> </w:t>
      </w:r>
      <w:r>
        <w:t xml:space="preserve">the client keep at most</w:t>
      </w:r>
      <w:r>
        <w:t xml:space="preserve"> </w:t>
      </w:r>
      <m:oMath>
        <m:r>
          <m:t>c</m:t>
        </m:r>
      </m:oMath>
      <w:r>
        <w:t xml:space="preserve"> </w:t>
      </w:r>
      <w:r>
        <w:t xml:space="preserve">requests in flight (BMCs typically limit the number</w:t>
      </w:r>
      <w:r>
        <w:t xml:space="preserve"> </w:t>
      </w:r>
      <w:r>
        <w:t xml:space="preserve">of sessions and degrade under load, so</w:t>
      </w:r>
      <w:r>
        <w:t xml:space="preserve"> </w:t>
      </w:r>
      <m:oMath>
        <m:r>
          <m:t>c</m:t>
        </m:r>
      </m:oMath>
      <w:r>
        <w:t xml:space="preserve"> </w:t>
      </w:r>
      <w:r>
        <w:t xml:space="preserve">is small). With the level barrier,</w:t>
      </w:r>
      <w:r>
        <w:t xml:space="preserve"> </w:t>
      </w:r>
      <w:r>
        <w:t xml:space="preserve">the number of</w:t>
      </w:r>
      <w:r>
        <w:t xml:space="preserve"> </w:t>
      </w:r>
      <w:r>
        <w:rPr>
          <w:iCs/>
          <w:i/>
        </w:rPr>
        <w:t xml:space="preserve">request rounds</w:t>
      </w:r>
      <w:r>
        <w:t xml:space="preserve"> </w:t>
      </w:r>
      <w:r>
        <w:t xml:space="preserve">is</w:t>
      </w:r>
    </w:p>
    <w:p>
      <w:pPr>
        <w:tabs>
          <w:tab w:val="center" w:pos="4309"/>
          <w:tab w:val="right" w:pos="8618"/>
        </w:tabs>
        <w:spacing w:before="120" w:after="120"/>
      </w:pPr>
      <w:r>
        <w:tab/>
      </w:r>
      <m:oMath>
        <m:r>
          <m:t>R</m:t>
        </m:r>
        <m:d>
          <m:dPr>
            <m:begChr m:val="("/>
            <m:sepChr m:val=""/>
            <m:endChr m:val=")"/>
            <m:grow/>
          </m:dPr>
          <m:e>
            <m:r>
              <m:t>c</m:t>
            </m:r>
          </m:e>
        </m:d>
        <m:r>
          <m:rPr>
            <m:sty m:val="p"/>
          </m:rPr>
          <m:t>=</m:t>
        </m:r>
        <m:nary>
          <m:naryPr>
            <m:chr m:val="∑"/>
            <m:limLoc m:val="undOvr"/>
            <m:subHide m:val="0"/>
            <m:supHide m:val="0"/>
          </m:naryPr>
          <m:sub>
            <m:r>
              <m:t>k</m:t>
            </m:r>
            <m:r>
              <m:rPr>
                <m:sty m:val="p"/>
              </m:rPr>
              <m:t>=</m:t>
            </m:r>
            <m:r>
              <m:t>0</m:t>
            </m:r>
          </m:sub>
          <m:sup>
            <m:r>
              <m:t>D</m:t>
            </m:r>
          </m:sup>
          <m:e>
            <m:d>
              <m:dPr>
                <m:begChr m:val="⌈"/>
                <m:sepChr m:val=""/>
                <m:endChr m:val="⌉"/>
                <m:grow/>
              </m:dPr>
              <m:e>
                <m:f>
                  <m:fPr>
                    <m:type m:val="bar"/>
                  </m:fPr>
                  <m:num>
                    <m:sSub>
                      <m:e>
                        <m:r>
                          <m:t>n</m:t>
                        </m:r>
                      </m:e>
                      <m:sub>
                        <m:r>
                          <m:t>k</m:t>
                        </m:r>
                      </m:sub>
                    </m:sSub>
                  </m:num>
                  <m:den>
                    <m:r>
                      <m:t>c</m:t>
                    </m:r>
                  </m:den>
                </m:f>
              </m:e>
            </m:d>
          </m:e>
        </m:nary>
        <m:r>
          <m:rPr>
            <m:sty m:val="p"/>
          </m:rPr>
          <m:t>,</m:t>
        </m:r>
        <m:r>
          <m:t>  </m:t>
        </m:r>
        <m:r>
          <m:rPr>
            <m:sty m:val="p"/>
          </m:rPr>
          <m:t>max</m:t>
        </m:r>
        <m:d>
          <m:dPr>
            <m:begChr m:val="("/>
            <m:sepChr m:val=""/>
            <m:endChr m:val=")"/>
            <m:grow/>
          </m:dPr>
          <m:e>
            <m:r>
              <m:t>K</m:t>
            </m:r>
            <m:r>
              <m:rPr>
                <m:sty m:val="p"/>
              </m:rPr>
              <m:t>,</m:t>
            </m:r>
            <m:f>
              <m:fPr>
                <m:type m:val="bar"/>
              </m:fPr>
              <m:num>
                <m:r>
                  <m:t>C</m:t>
                </m:r>
              </m:num>
              <m:den>
                <m:r>
                  <m:t>c</m:t>
                </m:r>
              </m:den>
            </m:f>
          </m:e>
        </m:d>
        <m:r>
          <m:t> </m:t>
        </m:r>
        <m:r>
          <m:rPr>
            <m:sty m:val="p"/>
          </m:rPr>
          <m:t>≤</m:t>
        </m:r>
        <m:r>
          <m:t> </m:t>
        </m:r>
        <m:r>
          <m:t>R</m:t>
        </m:r>
        <m:d>
          <m:dPr>
            <m:begChr m:val="("/>
            <m:sepChr m:val=""/>
            <m:endChr m:val=")"/>
            <m:grow/>
          </m:dPr>
          <m:e>
            <m:r>
              <m:t>c</m:t>
            </m:r>
          </m:e>
        </m:d>
        <m:r>
          <m:t> </m:t>
        </m:r>
        <m:r>
          <m:rPr>
            <m:sty m:val="p"/>
          </m:rPr>
          <m:t>≤</m:t>
        </m:r>
        <m:r>
          <m:t> </m:t>
        </m:r>
        <m:r>
          <m:t>K</m:t>
        </m:r>
        <m:r>
          <m:rPr>
            <m:sty m:val="p"/>
          </m:rPr>
          <m:t>+</m:t>
        </m:r>
        <m:f>
          <m:fPr>
            <m:type m:val="bar"/>
          </m:fPr>
          <m:num>
            <m:r>
              <m:t>C</m:t>
            </m:r>
          </m:num>
          <m:den>
            <m:r>
              <m:t>c</m:t>
            </m:r>
          </m:den>
        </m:f>
      </m:oMath>
      <w:r>
        <w:tab/>
        <w:t>(5.6)</w:t>
      </w:r>
    </w:p>
    <w:p>
      <w:pPr>
        <w:pStyle w:val="FirstParagraph"/>
      </w:pPr>
      <w:r>
        <w:t xml:space="preserve">where</w:t>
      </w:r>
      <w:r>
        <w:t xml:space="preserve"> </w:t>
      </w:r>
      <m:oMath>
        <m:r>
          <m:t>C</m:t>
        </m:r>
        <m:r>
          <m:rPr>
            <m:sty m:val="p"/>
          </m:rPr>
          <m:t>=</m:t>
        </m:r>
        <m:nary>
          <m:naryPr>
            <m:chr m:val="∑"/>
            <m:limLoc m:val="undOvr"/>
            <m:subHide m:val="0"/>
            <m:supHide m:val="1"/>
          </m:naryPr>
          <m:sub>
            <m:r>
              <m:t>k</m:t>
            </m:r>
          </m:sub>
          <m:sup>
            <m:r>
              <m:t>​</m:t>
            </m:r>
          </m:sup>
          <m:e>
            <m:sSub>
              <m:e>
                <m:r>
                  <m:t>n</m:t>
                </m:r>
              </m:e>
              <m:sub>
                <m:r>
                  <m:t>k</m:t>
                </m:r>
              </m:sub>
            </m:sSub>
          </m:e>
        </m:nary>
      </m:oMath>
      <w:r>
        <w:t xml:space="preserve"> </w:t>
      </w:r>
      <w:r>
        <w:t xml:space="preserve">and</w:t>
      </w:r>
      <w:r>
        <w:t xml:space="preserve"> </w:t>
      </w:r>
      <m:oMath>
        <m:r>
          <m:t>K</m:t>
        </m:r>
      </m:oMath>
      <w:r>
        <w:t xml:space="preserve"> </w:t>
      </w:r>
      <w:r>
        <w:t xml:space="preserve">is the number of non-empty levels. The expected</w:t>
      </w:r>
      <w:r>
        <w:t xml:space="preserve"> </w:t>
      </w:r>
      <w:r>
        <w:t xml:space="preserve">wall-clock time is approximately</w:t>
      </w:r>
      <w:r>
        <w:t xml:space="preserve"> </w:t>
      </w:r>
      <m:oMath>
        <m:r>
          <m:t>R</m:t>
        </m:r>
        <m:d>
          <m:dPr>
            <m:begChr m:val="("/>
            <m:sepChr m:val=""/>
            <m:endChr m:val=")"/>
            <m:grow/>
          </m:dPr>
          <m:e>
            <m:r>
              <m:t>c</m:t>
            </m:r>
          </m:e>
        </m:d>
        <m:r>
          <m:t> </m:t>
        </m:r>
        <m:acc>
          <m:accPr>
            <m:chr m:val="‾"/>
          </m:accPr>
          <m:e>
            <m:r>
              <m:rPr>
                <m:sty m:val="p"/>
              </m:rPr>
              <m:t>ℓ</m:t>
            </m:r>
          </m:e>
        </m:acc>
        <m:d>
          <m:dPr>
            <m:begChr m:val="("/>
            <m:sepChr m:val=""/>
            <m:endChr m:val=")"/>
            <m:grow/>
          </m:dPr>
          <m:e>
            <m:r>
              <m:t>c</m:t>
            </m:r>
          </m:e>
        </m:d>
      </m:oMath>
      <w:r>
        <w:t xml:space="preserve">, where</w:t>
      </w:r>
      <w:r>
        <w:t xml:space="preserve"> </w:t>
      </w:r>
      <m:oMath>
        <m:acc>
          <m:accPr>
            <m:chr m:val="‾"/>
          </m:accPr>
          <m:e>
            <m:r>
              <m:rPr>
                <m:sty m:val="p"/>
              </m:rPr>
              <m:t>ℓ</m:t>
            </m:r>
          </m:e>
        </m:acc>
        <m:d>
          <m:dPr>
            <m:begChr m:val="("/>
            <m:sepChr m:val=""/>
            <m:endChr m:val=")"/>
            <m:grow/>
          </m:dPr>
          <m:e>
            <m:r>
              <m:t>c</m:t>
            </m:r>
          </m:e>
        </m:d>
      </m:oMath>
      <w:r>
        <w:t xml:space="preserve"> </w:t>
      </w:r>
      <w:r>
        <w:t xml:space="preserve">is the</w:t>
      </w:r>
      <w:r>
        <w:t xml:space="preserve"> </w:t>
      </w:r>
      <w:r>
        <w:t xml:space="preserve">mean latency at concurrency</w:t>
      </w:r>
      <w:r>
        <w:t xml:space="preserve"> </w:t>
      </w:r>
      <m:oMath>
        <m:r>
          <m:t>c</m:t>
        </m:r>
      </m:oMath>
      <w:r>
        <w:t xml:space="preserve">. For</w:t>
      </w:r>
      <w:r>
        <w:t xml:space="preserve"> </w:t>
      </w:r>
      <m:oMath>
        <m:r>
          <m:t>c</m:t>
        </m:r>
        <m:r>
          <m:rPr>
            <m:sty m:val="p"/>
          </m:rPr>
          <m:t>→</m:t>
        </m:r>
        <m:r>
          <m:rPr>
            <m:sty m:val="p"/>
          </m:rPr>
          <m:t>∞</m:t>
        </m:r>
      </m:oMath>
      <w:r>
        <w:t xml:space="preserve"> </w:t>
      </w:r>
      <w:r>
        <w:t xml:space="preserve">the time is bounded below by</w:t>
      </w:r>
      <w:r>
        <w:t xml:space="preserve"> </w:t>
      </w:r>
      <w:r>
        <w:t xml:space="preserve">the height of the tree, which for Redfish is small (</w:t>
      </w:r>
      <m:oMath>
        <m:r>
          <m:t>D</m:t>
        </m:r>
        <m:r>
          <m:rPr>
            <m:sty m:val="p"/>
          </m:rPr>
          <m:t>≤</m:t>
        </m:r>
        <m:r>
          <m:t>8</m:t>
        </m:r>
      </m:oMath>
      <w:r>
        <w:t xml:space="preserve"> </w:t>
      </w:r>
      <w:r>
        <w:t xml:space="preserve">in all services</w:t>
      </w:r>
      <w:r>
        <w:t xml:space="preserve"> </w:t>
      </w:r>
      <w:r>
        <w:t xml:space="preserve">studied). DFS has the same total cost but no level structure, so its natural</w:t>
      </w:r>
      <w:r>
        <w:t xml:space="preserve"> </w:t>
      </w:r>
      <w:r>
        <w:t xml:space="preserve">parallelisation requires speculative expansion of several branches.</w:t>
      </w:r>
    </w:p>
    <w:p>
      <w:pPr>
        <w:pStyle w:val="BodyText"/>
      </w:pPr>
      <w:r>
        <w:t xml:space="preserve">BFS has one latency drawback that the evaluation makes visible: plain Tree-BFS</w:t>
      </w:r>
      <w:r>
        <w:t xml:space="preserve"> </w:t>
      </w:r>
      <w:r>
        <w:t xml:space="preserve">must sweep the broad upper levels (schemas, registries, logs) before it reaches</w:t>
      </w:r>
      <w:r>
        <w:t xml:space="preserve"> </w:t>
      </w:r>
      <w:r>
        <w:t xml:space="preserve">depth 4–6 where hardware components live, so its</w:t>
      </w:r>
      <w:r>
        <w:t xml:space="preserve"> </w:t>
      </w:r>
      <w:r>
        <w:rPr>
          <w:iCs/>
          <w:i/>
        </w:rPr>
        <w:t xml:space="preserve">first</w:t>
      </w:r>
      <w:r>
        <w:t xml:space="preserve"> </w:t>
      </w:r>
      <w:r>
        <w:t xml:space="preserve">answer arrives</w:t>
      </w:r>
      <w:r>
        <w:t xml:space="preserve"> </w:t>
      </w:r>
      <w:r>
        <w:t xml:space="preserve">late. Pruning removes exactly those broad, irrelevant levels.</w:t>
      </w:r>
    </w:p>
    <w:bookmarkEnd w:id="55"/>
    <w:bookmarkStart w:id="57" w:name="discovery-within-a-monitoring-loop"/>
    <w:p>
      <w:pPr>
        <w:pStyle w:val="Heading2"/>
      </w:pPr>
      <w:r>
        <w:t xml:space="preserve">5.7 Discovery within a Monitoring Loop</w:t>
      </w:r>
    </w:p>
    <w:p>
      <w:pPr>
        <w:pStyle w:val="FirstParagraph"/>
      </w:pPr>
      <w:r>
        <w:t xml:space="preserve">Hardware inventory changes rarely, while sensor readings change continuously.</w:t>
      </w:r>
      <w:r>
        <w:t xml:space="preserve"> </w:t>
      </w:r>
      <w:r>
        <w:t xml:space="preserve">The monitoring tool therefore separates discovery from polling</w:t>
      </w:r>
      <w:r>
        <w:t xml:space="preserve"> </w:t>
      </w:r>
      <w:r>
        <w:t xml:space="preserve">(Algorithm 3). Discovery produces a</w:t>
      </w:r>
      <w:r>
        <w:t xml:space="preserve"> </w:t>
      </w:r>
      <w:r>
        <w:rPr>
          <w:iCs/>
          <w:i/>
        </w:rPr>
        <w:t xml:space="preserve">poll set</w:t>
      </w:r>
      <w:r>
        <w:t xml:space="preserve">: the distinct URIs</w:t>
      </w:r>
      <w:r>
        <w:t xml:space="preserve"> </w:t>
      </w:r>
      <w:r>
        <w:t xml:space="preserve">of the answer-bearing resources (the resource itself for resource answers, the</w:t>
      </w:r>
      <w:r>
        <w:t xml:space="preserve"> </w:t>
      </w:r>
      <w:r>
        <w:t xml:space="preserve">parent for embedded answers such as</w:t>
      </w:r>
      <w:r>
        <w:t xml:space="preserve"> </w:t>
      </w:r>
      <w:r>
        <w:rPr>
          <w:rStyle w:val="VerbatimChar"/>
        </w:rPr>
        <w:t xml:space="preserve">Power#/PowerSupplies/0</w:t>
      </w:r>
      <w:r>
        <w:t xml:space="preserve">). Each polling</w:t>
      </w:r>
      <w:r>
        <w:t xml:space="preserve"> </w:t>
      </w:r>
      <w:r>
        <w:t xml:space="preserve">cycle fetches only the poll set. Over</w:t>
      </w:r>
      <w:r>
        <w:t xml:space="preserve"> </w:t>
      </w:r>
      <m:oMath>
        <m:r>
          <m:t>N</m:t>
        </m:r>
      </m:oMath>
      <w:r>
        <w:t xml:space="preserve"> </w:t>
      </w:r>
      <w:r>
        <w:t xml:space="preserve">cycles the mean cost per cycle is</w:t>
      </w:r>
    </w:p>
    <w:p>
      <w:pPr>
        <w:tabs>
          <w:tab w:val="center" w:pos="4309"/>
          <w:tab w:val="right" w:pos="8618"/>
        </w:tabs>
        <w:spacing w:before="120" w:after="120"/>
      </w:pPr>
      <w:r>
        <w:tab/>
      </w:r>
      <m:oMath>
        <m:acc>
          <m:accPr>
            <m:chr m:val="‾"/>
          </m:accPr>
          <m:e>
            <m:r>
              <m:t>C</m:t>
            </m:r>
          </m:e>
        </m:acc>
        <m:d>
          <m:dPr>
            <m:begChr m:val="("/>
            <m:sepChr m:val=""/>
            <m:endChr m:val=")"/>
            <m:grow/>
          </m:dPr>
          <m:e>
            <m:r>
              <m:t>N</m:t>
            </m:r>
          </m:e>
        </m:d>
        <m:r>
          <m:rPr>
            <m:sty m:val="p"/>
          </m:rPr>
          <m:t>=</m:t>
        </m:r>
        <m:f>
          <m:fPr>
            <m:type m:val="bar"/>
          </m:fPr>
          <m:num>
            <m:sSub>
              <m:e>
                <m:r>
                  <m:t>C</m:t>
                </m:r>
              </m:e>
              <m:sub>
                <m:r>
                  <m:rPr>
                    <m:sty m:val="p"/>
                  </m:rPr>
                  <m:t>d</m:t>
                </m:r>
                <m:r>
                  <m:rPr>
                    <m:sty m:val="p"/>
                  </m:rPr>
                  <m:t>i</m:t>
                </m:r>
                <m:r>
                  <m:rPr>
                    <m:sty m:val="p"/>
                  </m:rPr>
                  <m:t>s</m:t>
                </m:r>
                <m:r>
                  <m:rPr>
                    <m:sty m:val="p"/>
                  </m:rPr>
                  <m:t>c</m:t>
                </m:r>
              </m:sub>
            </m:sSub>
          </m:num>
          <m:den>
            <m:r>
              <m:t>N</m:t>
            </m:r>
          </m:den>
        </m:f>
        <m:r>
          <m:rPr>
            <m:sty m:val="p"/>
          </m:rPr>
          <m:t>+</m:t>
        </m:r>
        <m:sSub>
          <m:e>
            <m:r>
              <m:t>C</m:t>
            </m:r>
          </m:e>
          <m:sub>
            <m:r>
              <m:rPr>
                <m:sty m:val="p"/>
              </m:rPr>
              <m:t>p</m:t>
            </m:r>
            <m:r>
              <m:rPr>
                <m:sty m:val="p"/>
              </m:rPr>
              <m:t>o</m:t>
            </m:r>
            <m:r>
              <m:rPr>
                <m:sty m:val="p"/>
              </m:rPr>
              <m:t>l</m:t>
            </m:r>
            <m:r>
              <m:rPr>
                <m:sty m:val="p"/>
              </m:rPr>
              <m:t>l</m:t>
            </m:r>
          </m:sub>
        </m:sSub>
        <m:limUpp>
          <m:e>
            <m:r>
              <m:rPr>
                <m:sty m:val="p"/>
              </m:rPr>
              <m:t>→</m:t>
            </m:r>
          </m:e>
          <m:lim>
            <m:r>
              <m:t>N</m:t>
            </m:r>
            <m:r>
              <m:rPr>
                <m:sty m:val="p"/>
              </m:rPr>
              <m:t>→</m:t>
            </m:r>
            <m:r>
              <m:rPr>
                <m:sty m:val="p"/>
              </m:rPr>
              <m:t>∞</m:t>
            </m:r>
          </m:lim>
        </m:limUpp>
        <m:sSub>
          <m:e>
            <m:r>
              <m:t>C</m:t>
            </m:r>
          </m:e>
          <m:sub>
            <m:r>
              <m:rPr>
                <m:sty m:val="p"/>
              </m:rPr>
              <m:t>p</m:t>
            </m:r>
            <m:r>
              <m:rPr>
                <m:sty m:val="p"/>
              </m:rPr>
              <m:t>o</m:t>
            </m:r>
            <m:r>
              <m:rPr>
                <m:sty m:val="p"/>
              </m:rPr>
              <m:t>l</m:t>
            </m:r>
            <m:r>
              <m:rPr>
                <m:sty m:val="p"/>
              </m:rPr>
              <m:t>l</m:t>
            </m:r>
          </m:sub>
        </m:sSub>
      </m:oMath>
      <w:r>
        <w:tab/>
        <w:t>(5.7)</w:t>
      </w:r>
    </w:p>
    <w:p>
      <w:pPr>
        <w:pStyle w:val="FirstParagraph"/>
      </w:pPr>
      <w:r>
        <w:t xml:space="preserve">so any discovery algorithm is amortised after a few cycles. What still matters</w:t>
      </w:r>
      <w:r>
        <w:t xml:space="preserve"> </w:t>
      </w:r>
      <w:r>
        <w:t xml:space="preserve">is (i) the</w:t>
      </w:r>
      <w:r>
        <w:t xml:space="preserve"> </w:t>
      </w:r>
      <w:r>
        <w:rPr>
          <w:iCs/>
          <w:i/>
        </w:rPr>
        <w:t xml:space="preserve">completeness</w:t>
      </w:r>
      <w:r>
        <w:t xml:space="preserve"> </w:t>
      </w:r>
      <w:r>
        <w:t xml:space="preserve">of the poll set, which is fixed at discovery time,</w:t>
      </w:r>
      <w:r>
        <w:t xml:space="preserve"> </w:t>
      </w:r>
      <w:r>
        <w:t xml:space="preserve">and (ii) the cost of</w:t>
      </w:r>
      <w:r>
        <w:t xml:space="preserve"> </w:t>
      </w:r>
      <w:r>
        <w:rPr>
          <w:iCs/>
          <w:i/>
        </w:rPr>
        <w:t xml:space="preserve">rediscovery</w:t>
      </w:r>
      <w:r>
        <w:t xml:space="preserve">, which is needed when the inventory</w:t>
      </w:r>
      <w:r>
        <w:t xml:space="preserve"> </w:t>
      </w:r>
      <w:r>
        <w:t xml:space="preserve">changes.</w:t>
      </w:r>
    </w:p>
    <w:p>
      <w:pPr>
        <w:pStyle w:val="BodyText"/>
      </w:pPr>
      <w:r>
        <w:drawing>
          <wp:inline>
            <wp:extent cx="5334000" cy="2588443"/>
            <wp:effectExtent b="0" l="0" r="0" t="0"/>
            <wp:docPr descr="image" title="" id="1" name="Picture"/>
            <a:graphic>
              <a:graphicData uri="http://schemas.openxmlformats.org/drawingml/2006/picture">
                <pic:pic>
                  <pic:nvPicPr>
                    <pic:cNvPr descr="img/alg3.png" id="0" name="Picture"/>
                    <pic:cNvPicPr>
                      <a:picLocks noChangeArrowheads="1" noChangeAspect="1"/>
                    </pic:cNvPicPr>
                  </pic:nvPicPr>
                  <pic:blipFill>
                    <a:blip r:embed="rId56"/>
                    <a:stretch>
                      <a:fillRect/>
                    </a:stretch>
                  </pic:blipFill>
                  <pic:spPr bwMode="auto">
                    <a:xfrm>
                      <a:off x="0" y="0"/>
                      <a:ext cx="5334000" cy="2588443"/>
                    </a:xfrm>
                    <a:prstGeom prst="rect">
                      <a:avLst/>
                    </a:prstGeom>
                    <a:noFill/>
                    <a:ln w="9525">
                      <a:noFill/>
                      <a:headEnd/>
                      <a:tailEnd/>
                    </a:ln>
                  </pic:spPr>
                </pic:pic>
              </a:graphicData>
            </a:graphic>
          </wp:inline>
        </w:drawing>
      </w:r>
    </w:p>
    <w:p>
      <w:pPr>
        <w:pStyle w:val="BodyText"/>
      </w:pPr>
      <w:r>
        <w:t xml:space="preserve">The</w:t>
      </w:r>
      <w:r>
        <w:t xml:space="preserve"> </w:t>
      </w:r>
      <w:r>
        <w:rPr>
          <w:iCs/>
          <w:i/>
        </w:rPr>
        <w:t xml:space="preserve">signature</w:t>
      </w:r>
      <w:r>
        <w:t xml:space="preserve"> </w:t>
      </w:r>
      <w:r>
        <w:t xml:space="preserve">is a cheap fingerprint of the inventory: the</w:t>
      </w:r>
      <w:r>
        <w:t xml:space="preserve"> </w:t>
      </w:r>
      <w:r>
        <w:rPr>
          <w:rStyle w:val="VerbatimChar"/>
        </w:rPr>
        <w:t xml:space="preserve">Members@odata.count</w:t>
      </w:r>
      <w:r>
        <w:t xml:space="preserve"> </w:t>
      </w:r>
      <w:r>
        <w:t xml:space="preserve">of the collections on the paths to the answers, which</w:t>
      </w:r>
      <w:r>
        <w:t xml:space="preserve"> </w:t>
      </w:r>
      <w:r>
        <w:t xml:space="preserve">are among the resources already fetched and can be re-read periodically at a</w:t>
      </w:r>
      <w:r>
        <w:t xml:space="preserve"> </w:t>
      </w:r>
      <w:r>
        <w:t xml:space="preserve">fraction of the discovery cost. Redfish event subscriptions (</w:t>
      </w:r>
      <w:r>
        <w:rPr>
          <w:rStyle w:val="VerbatimChar"/>
        </w:rPr>
        <w:t xml:space="preserve">ResourceAdded</w:t>
      </w:r>
      <w:r>
        <w:t xml:space="preserve">,</w:t>
      </w:r>
      <w:r>
        <w:t xml:space="preserve"> </w:t>
      </w:r>
      <w:r>
        <w:rPr>
          <w:rStyle w:val="VerbatimChar"/>
        </w:rPr>
        <w:t xml:space="preserve">ResourceRemoved</w:t>
      </w:r>
      <w:r>
        <w:t xml:space="preserve">)</w:t>
      </w:r>
      <w:r>
        <w:t xml:space="preserve"> </w:t>
      </w:r>
      <w:r>
        <w:t xml:space="preserve">can trigger rediscovery immediately on services that support them.</w:t>
      </w:r>
    </w:p>
    <w:bookmarkEnd w:id="57"/>
    <w:bookmarkEnd w:id="58"/>
    <w:bookmarkStart w:id="64" w:name="implementation"/>
    <w:p>
      <w:pPr>
        <w:pStyle w:val="Heading1"/>
      </w:pPr>
      <w:r>
        <w:t xml:space="preserve">6 Implementation</w:t>
      </w:r>
    </w:p>
    <w:p>
      <w:pPr>
        <w:pStyle w:val="FirstParagraph"/>
      </w:pPr>
      <w:r>
        <w:t xml:space="preserve">This chapter describes how SP-BFS is realised as the discovery layer of the</w:t>
      </w:r>
      <w:r>
        <w:t xml:space="preserve"> </w:t>
      </w:r>
      <w:r>
        <w:t xml:space="preserve">Redfish hardware monitoring tool, and how the same code is exercised against</w:t>
      </w:r>
      <w:r>
        <w:t xml:space="preserve"> </w:t>
      </w:r>
      <w:r>
        <w:t xml:space="preserve">recorded services for the evaluation.</w:t>
      </w:r>
    </w:p>
    <w:bookmarkStart w:id="60" w:name="architecture"/>
    <w:p>
      <w:pPr>
        <w:pStyle w:val="Heading2"/>
      </w:pPr>
      <w:r>
        <w:t xml:space="preserve">6.1 Architecture</w:t>
      </w:r>
    </w:p>
    <w:p>
      <w:pPr>
        <w:pStyle w:val="FirstParagraph"/>
      </w:pPr>
      <w:r>
        <w:t xml:space="preserve">Figure 6.1 shows the components of the monitoring tool. The</w:t>
      </w:r>
      <w:r>
        <w:t xml:space="preserve"> </w:t>
      </w:r>
      <w:r>
        <w:rPr>
          <w:iCs/>
          <w:i/>
        </w:rPr>
        <w:t xml:space="preserve">collector</w:t>
      </w:r>
      <w:r>
        <w:t xml:space="preserve"> </w:t>
      </w:r>
      <w:r>
        <w:t xml:space="preserve">owns all communication with BMCs: it authenticates, limits the</w:t>
      </w:r>
      <w:r>
        <w:t xml:space="preserve"> </w:t>
      </w:r>
      <w:r>
        <w:t xml:space="preserve">number of concurrent requests per BMC, applies timeouts and retries, and counts</w:t>
      </w:r>
      <w:r>
        <w:t xml:space="preserve"> </w:t>
      </w:r>
      <w:r>
        <w:t xml:space="preserve">requests. The</w:t>
      </w:r>
      <w:r>
        <w:t xml:space="preserve"> </w:t>
      </w:r>
      <w:r>
        <w:rPr>
          <w:iCs/>
          <w:i/>
        </w:rPr>
        <w:t xml:space="preserve">discovery</w:t>
      </w:r>
      <w:r>
        <w:t xml:space="preserve"> </w:t>
      </w:r>
      <w:r>
        <w:t xml:space="preserve">component runs SP-BFS with the queries of</w:t>
      </w:r>
      <w:r>
        <w:t xml:space="preserve"> </w:t>
      </w:r>
      <w:r>
        <w:t xml:space="preserve">Table 4.1 and the type graph built from the schema bundle; its only</w:t>
      </w:r>
      <w:r>
        <w:t xml:space="preserve"> </w:t>
      </w:r>
      <w:r>
        <w:t xml:space="preserve">output is an</w:t>
      </w:r>
      <w:r>
        <w:t xml:space="preserve"> </w:t>
      </w:r>
      <w:r>
        <w:rPr>
          <w:iCs/>
          <w:i/>
        </w:rPr>
        <w:t xml:space="preserve">inventory</w:t>
      </w:r>
      <w:r>
        <w:t xml:space="preserve">, i.e. the answer sets and the derived poll set,</w:t>
      </w:r>
      <w:r>
        <w:t xml:space="preserve"> </w:t>
      </w:r>
      <w:r>
        <w:t xml:space="preserve">per server. The</w:t>
      </w:r>
      <w:r>
        <w:t xml:space="preserve"> </w:t>
      </w:r>
      <w:r>
        <w:rPr>
          <w:iCs/>
          <w:i/>
        </w:rPr>
        <w:t xml:space="preserve">poller</w:t>
      </w:r>
      <w:r>
        <w:t xml:space="preserve"> </w:t>
      </w:r>
      <w:r>
        <w:t xml:space="preserve">periodically fetches the poll set, normalises the</w:t>
      </w:r>
      <w:r>
        <w:t xml:space="preserve"> </w:t>
      </w:r>
      <w:r>
        <w:t xml:space="preserve">readings (health state, temperature in °C, fan speed, power in</w:t>
      </w:r>
      <w:r>
        <w:t xml:space="preserve"> </w:t>
      </w:r>
      <w:r>
        <w:t xml:space="preserve">W) into a vendor-neutral record keyed by the answer identity</w:t>
      </w:r>
      <w:r>
        <w:t xml:space="preserve"> </w:t>
      </w:r>
      <m:oMath>
        <m:r>
          <m:t>ι</m:t>
        </m:r>
      </m:oMath>
      <w:r>
        <w:t xml:space="preserve">,</w:t>
      </w:r>
      <w:r>
        <w:t xml:space="preserve"> </w:t>
      </w:r>
      <w:r>
        <w:t xml:space="preserve">and hands them to storage, dashboards and alerting. Nothing outside the</w:t>
      </w:r>
      <w:r>
        <w:t xml:space="preserve"> </w:t>
      </w:r>
      <w:r>
        <w:t xml:space="preserve">discovery component knows a Redfish URI.</w:t>
      </w:r>
    </w:p>
    <w:p>
      <w:pPr>
        <w:pStyle w:val="CaptionedFigure"/>
      </w:pPr>
      <w:r>
        <w:drawing>
          <wp:inline>
            <wp:extent cx="5334000" cy="2067563"/>
            <wp:effectExtent b="0" l="0" r="0" t="0"/>
            <wp:docPr descr="Figure 6.1: Architecture of the monitoring tool. Only the discovery component (blue) interprets the Redfish resource graph." title="" id="1" name="Picture"/>
            <a:graphic>
              <a:graphicData uri="http://schemas.openxmlformats.org/drawingml/2006/picture">
                <pic:pic>
                  <pic:nvPicPr>
                    <pic:cNvPr descr="img/fig_architecture.png" id="0" name="Picture"/>
                    <pic:cNvPicPr>
                      <a:picLocks noChangeArrowheads="1" noChangeAspect="1"/>
                    </pic:cNvPicPr>
                  </pic:nvPicPr>
                  <pic:blipFill>
                    <a:blip r:embed="rId59"/>
                    <a:stretch>
                      <a:fillRect/>
                    </a:stretch>
                  </pic:blipFill>
                  <pic:spPr bwMode="auto">
                    <a:xfrm>
                      <a:off x="0" y="0"/>
                      <a:ext cx="5334000" cy="2067563"/>
                    </a:xfrm>
                    <a:prstGeom prst="rect">
                      <a:avLst/>
                    </a:prstGeom>
                    <a:noFill/>
                    <a:ln w="9525">
                      <a:noFill/>
                      <a:headEnd/>
                      <a:tailEnd/>
                    </a:ln>
                  </pic:spPr>
                </pic:pic>
              </a:graphicData>
            </a:graphic>
          </wp:inline>
        </w:drawing>
      </w:r>
    </w:p>
    <w:p>
      <w:pPr>
        <w:pStyle w:val="ImageCaption"/>
      </w:pPr>
      <w:r>
        <w:t xml:space="preserve">Figure 6.1: Architecture of the monitoring tool. Only the discovery component</w:t>
      </w:r>
      <w:r>
        <w:t xml:space="preserve"> </w:t>
      </w:r>
      <w:r>
        <w:t xml:space="preserve">(blue) interprets the Redfish resource graph.</w:t>
      </w:r>
    </w:p>
    <w:bookmarkEnd w:id="60"/>
    <w:bookmarkStart w:id="61" w:name="the-rfbfs-package"/>
    <w:p>
      <w:pPr>
        <w:pStyle w:val="Heading2"/>
      </w:pPr>
      <w:r>
        <w:t xml:space="preserve">6.2 The</w:t>
      </w:r>
      <w:r>
        <w:t xml:space="preserve"> </w:t>
      </w:r>
      <w:r>
        <w:rPr>
          <w:rStyle w:val="VerbatimChar"/>
        </w:rPr>
        <w:t xml:space="preserve">rfbfs</w:t>
      </w:r>
      <w:r>
        <w:t xml:space="preserve"> </w:t>
      </w:r>
      <w:r>
        <w:t xml:space="preserve">Package</w:t>
      </w:r>
    </w:p>
    <w:p>
      <w:pPr>
        <w:pStyle w:val="FirstParagraph"/>
      </w:pPr>
      <w:r>
        <w:t xml:space="preserve">The discovery layer is implemented in Python 3 without third-party</w:t>
      </w:r>
      <w:r>
        <w:t xml:space="preserve"> </w:t>
      </w:r>
      <w:r>
        <w:t xml:space="preserve">dependencies, in six modules totalling about 670 lines:</w:t>
      </w:r>
    </w:p>
    <w:p>
      <w:pPr>
        <w:pStyle w:val="DefinitionTerm"/>
      </w:pPr>
      <w:r>
        <w:rPr>
          <w:rStyle w:val="VerbatimChar"/>
        </w:rPr>
        <w:t xml:space="preserve">service.py</w:t>
      </w:r>
    </w:p>
    <w:p>
      <w:pPr>
        <w:pStyle w:val="Definition"/>
      </w:pPr>
      <w:r>
        <w:t xml:space="preserve">The transport interface: a single method</w:t>
      </w:r>
      <w:r>
        <w:t xml:space="preserve"> </w:t>
      </w:r>
      <w:r>
        <w:rPr>
          <w:rStyle w:val="VerbatimChar"/>
        </w:rPr>
        <w:t xml:space="preserve">get(uri)</w:t>
      </w:r>
      <w:r>
        <w:t xml:space="preserve"> </w:t>
      </w:r>
      <w:r>
        <w:t xml:space="preserve">that returns the JSON body or</w:t>
      </w:r>
      <w:r>
        <w:t xml:space="preserve"> </w:t>
      </w:r>
      <w:r>
        <w:rPr>
          <w:rStyle w:val="VerbatimChar"/>
        </w:rPr>
        <w:t xml:space="preserve">None</w:t>
      </w:r>
      <w:r>
        <w:t xml:space="preserve"> </w:t>
      </w:r>
      <w:r>
        <w:t xml:space="preserve">and counts</w:t>
      </w:r>
      <w:r>
        <w:t xml:space="preserve"> </w:t>
      </w:r>
      <w:r>
        <w:t xml:space="preserve">requests. The evaluation uses</w:t>
      </w:r>
      <w:r>
        <w:t xml:space="preserve"> </w:t>
      </w:r>
      <w:r>
        <w:rPr>
          <w:rStyle w:val="VerbatimChar"/>
        </w:rPr>
        <w:t xml:space="preserve">MockupService</w:t>
      </w:r>
      <w:r>
        <w:t xml:space="preserve">, which serves a DMTF</w:t>
      </w:r>
      <w:r>
        <w:t xml:space="preserve"> </w:t>
      </w:r>
      <w:r>
        <w:t xml:space="preserve">mockup directory.</w:t>
      </w:r>
    </w:p>
    <w:p>
      <w:pPr>
        <w:pStyle w:val="DefinitionTerm"/>
      </w:pPr>
      <w:r>
        <w:rPr>
          <w:rStyle w:val="VerbatimChar"/>
        </w:rPr>
        <w:t xml:space="preserve">https.py</w:t>
      </w:r>
    </w:p>
    <w:p>
      <w:pPr>
        <w:pStyle w:val="Definition"/>
      </w:pPr>
      <w:r>
        <w:rPr>
          <w:rStyle w:val="VerbatimChar"/>
        </w:rPr>
        <w:t xml:space="preserve">HttpsService</w:t>
      </w:r>
      <w:r>
        <w:t xml:space="preserve">, the transport for live BMCs</w:t>
      </w:r>
      <w:r>
        <w:t xml:space="preserve"> </w:t>
      </w:r>
      <w:r>
        <w:t xml:space="preserve">with the same interface: session login with fallback to HTTP Basic</w:t>
      </w:r>
      <w:r>
        <w:t xml:space="preserve"> </w:t>
      </w:r>
      <w:r>
        <w:t xml:space="preserve">authentication, optional acceptance of self-signed certificates,</w:t>
      </w:r>
      <w:r>
        <w:t xml:space="preserve"> </w:t>
      </w:r>
      <w:r>
        <w:t xml:space="preserve">timeouts, and retries with exponential back-off for 5xx and 429</w:t>
      </w:r>
      <w:r>
        <w:t xml:space="preserve"> </w:t>
      </w:r>
      <w:r>
        <w:t xml:space="preserve">responses.</w:t>
      </w:r>
    </w:p>
    <w:p>
      <w:pPr>
        <w:pStyle w:val="DefinitionTerm"/>
      </w:pPr>
      <w:r>
        <w:rPr>
          <w:rStyle w:val="VerbatimChar"/>
        </w:rPr>
        <w:t xml:space="preserve">model.py</w:t>
      </w:r>
    </w:p>
    <w:p>
      <w:pPr>
        <w:pStyle w:val="Definition"/>
      </w:pPr>
      <w:r>
        <w:t xml:space="preserve">Reference extraction (Definition 4.1): a recursive</w:t>
      </w:r>
      <w:r>
        <w:t xml:space="preserve"> </w:t>
      </w:r>
      <w:r>
        <w:t xml:space="preserve">walk that yields every</w:t>
      </w:r>
      <w:r>
        <w:t xml:space="preserve"> </w:t>
      </w:r>
      <w:r>
        <w:rPr>
          <w:rStyle w:val="VerbatimChar"/>
        </w:rPr>
        <w:t xml:space="preserve">@odata.id</w:t>
      </w:r>
      <w:r>
        <w:t xml:space="preserve"> </w:t>
      </w:r>
      <w:r>
        <w:t xml:space="preserve">reference with its top-level</w:t>
      </w:r>
      <w:r>
        <w:t xml:space="preserve"> </w:t>
      </w:r>
      <w:r>
        <w:t xml:space="preserve">property, JSON Pointer and edge class (containment, cross reference, OEM,</w:t>
      </w:r>
      <w:r>
        <w:t xml:space="preserve"> </w:t>
      </w:r>
      <w:r>
        <w:t xml:space="preserve">action/settings), and the short type name</w:t>
      </w:r>
      <w:r>
        <w:t xml:space="preserve"> </w:t>
      </w:r>
      <m:oMath>
        <m:r>
          <m:t>τ</m:t>
        </m:r>
      </m:oMath>
      <w:r>
        <w:t xml:space="preserve"> </w:t>
      </w:r>
      <w:r>
        <w:t xml:space="preserve">derived from</w:t>
      </w:r>
      <w:r>
        <w:t xml:space="preserve"> </w:t>
      </w:r>
      <w:r>
        <w:rPr>
          <w:rStyle w:val="VerbatimChar"/>
        </w:rPr>
        <w:t xml:space="preserve">@odata.type</w:t>
      </w:r>
      <w:r>
        <w:t xml:space="preserve">. The type name is the last dot-separated segment of the</w:t>
      </w:r>
      <w:r>
        <w:t xml:space="preserve"> </w:t>
      </w:r>
      <w:r>
        <w:t xml:space="preserve">qualified name, which works for all historic spellings, e.g. </w:t>
      </w:r>
      <w:r>
        <w:rPr>
          <w:rStyle w:val="VerbatimChar"/>
        </w:rPr>
        <w:t xml:space="preserve">#ComputerSystem.v1_1_0.ComputerSystem</w:t>
      </w:r>
      <w:r>
        <w:t xml:space="preserve"> </w:t>
      </w:r>
      <w:r>
        <w:t xml:space="preserve">and</w:t>
      </w:r>
      <w:r>
        <w:t xml:space="preserve"> </w:t>
      </w:r>
      <w:r>
        <w:rPr>
          <w:rStyle w:val="VerbatimChar"/>
        </w:rPr>
        <w:t xml:space="preserve">#ProcessorCollection.ProcessorCollection</w:t>
      </w:r>
      <w:r>
        <w:t xml:space="preserve">.</w:t>
      </w:r>
    </w:p>
    <w:p>
      <w:pPr>
        <w:pStyle w:val="DefinitionTerm"/>
      </w:pPr>
      <w:r>
        <w:rPr>
          <w:rStyle w:val="VerbatimChar"/>
        </w:rPr>
        <w:t xml:space="preserve">schema.py</w:t>
      </w:r>
    </w:p>
    <w:p>
      <w:pPr>
        <w:pStyle w:val="Definition"/>
      </w:pPr>
      <w:r>
        <w:t xml:space="preserve">Algorithm 1 and the memoised reachability</w:t>
      </w:r>
      <w:r>
        <w:t xml:space="preserve"> </w:t>
      </w:r>
      <w:r>
        <w:t xml:space="preserve">closure</w:t>
      </w:r>
      <w:r>
        <w:t xml:space="preserve"> </w:t>
      </w:r>
      <m:oMath>
        <m:sSub>
          <m:e>
            <m:r>
              <m:rPr>
                <m:sty m:val="p"/>
              </m:rPr>
              <m:t>R</m:t>
            </m:r>
          </m:e>
          <m:sub>
            <m:r>
              <m:t>X</m:t>
            </m:r>
          </m:sub>
        </m:sSub>
      </m:oMath>
      <w:r>
        <w:t xml:space="preserve"> </w:t>
      </w:r>
      <w:r>
        <w:t xml:space="preserve">(Eq. (5.2)).</w:t>
      </w:r>
    </w:p>
    <w:p>
      <w:pPr>
        <w:pStyle w:val="DefinitionTerm"/>
      </w:pPr>
      <w:r>
        <w:rPr>
          <w:rStyle w:val="VerbatimChar"/>
        </w:rPr>
        <w:t xml:space="preserve">queries.py</w:t>
      </w:r>
    </w:p>
    <w:p>
      <w:pPr>
        <w:pStyle w:val="Definition"/>
      </w:pPr>
      <w:r>
        <w:t xml:space="preserve">The declarative queries of Table 4.1 as</w:t>
      </w:r>
      <w:r>
        <w:t xml:space="preserve"> </w:t>
      </w:r>
      <w:r>
        <w:t xml:space="preserve">immutable data: type sets, embedded locations and predicates.</w:t>
      </w:r>
    </w:p>
    <w:p>
      <w:pPr>
        <w:pStyle w:val="DefinitionTerm"/>
      </w:pPr>
      <w:r>
        <w:rPr>
          <w:rStyle w:val="VerbatimChar"/>
        </w:rPr>
        <w:t xml:space="preserve">discover.py</w:t>
      </w:r>
    </w:p>
    <w:p>
      <w:pPr>
        <w:pStyle w:val="Definition"/>
      </w:pPr>
      <w:r>
        <w:t xml:space="preserve">One traversal routine that implements, via</w:t>
      </w:r>
      <w:r>
        <w:t xml:space="preserve"> </w:t>
      </w:r>
      <w:r>
        <w:t xml:space="preserve">parameters, the ground-truth crawl, Tree-BFS, Tree-DFS and SP-BFS</w:t>
      </w:r>
      <w:r>
        <w:t xml:space="preserve"> </w:t>
      </w:r>
      <w:r>
        <w:t xml:space="preserve">(Algorithm 2); a level-synchronous variant</w:t>
      </w:r>
      <w:r>
        <w:t xml:space="preserve"> </w:t>
      </w:r>
      <w:r>
        <w:rPr>
          <w:rStyle w:val="VerbatimChar"/>
        </w:rPr>
        <w:t xml:space="preserve">crawl_levels</w:t>
      </w:r>
      <w:r>
        <w:t xml:space="preserve"> </w:t>
      </w:r>
      <w:r>
        <w:t xml:space="preserve">that fetches each tree level with a bounded thread pool; and the static</w:t>
      </w:r>
      <w:r>
        <w:t xml:space="preserve"> </w:t>
      </w:r>
      <w:r>
        <w:t xml:space="preserve">navigation baselines used in Chapter 7.</w:t>
      </w:r>
    </w:p>
    <w:p>
      <w:pPr>
        <w:pStyle w:val="FirstParagraph"/>
      </w:pPr>
      <w:r>
        <w:t xml:space="preserve">Listing 6.1 shows how the monitoring tool invokes the discovery. Adding a</w:t>
      </w:r>
      <w:r>
        <w:t xml:space="preserve"> </w:t>
      </w:r>
      <w:r>
        <w:t xml:space="preserve">new component class (e.g. GPUs or PCIe devices) means adding one query; no</w:t>
      </w:r>
      <w:r>
        <w:t xml:space="preserve"> </w:t>
      </w:r>
      <w:r>
        <w:t xml:space="preserve">navigation code has to be written.</w:t>
      </w:r>
    </w:p>
    <w:p>
      <w:pPr>
        <w:pStyle w:val="BodyText"/>
      </w:pPr>
      <w:r>
        <w:rPr>
          <w:bCs/>
          <w:b/>
        </w:rPr>
        <w:t xml:space="preserve">Listing 6.1:</w:t>
      </w:r>
      <w:r>
        <w:t xml:space="preserve"> </w:t>
      </w:r>
      <w:r>
        <w:t xml:space="preserve">Using the discovery layer.</w:t>
      </w:r>
    </w:p>
    <w:p>
      <w:pPr>
        <w:pStyle w:val="SourceCode"/>
      </w:pPr>
      <w:r>
        <w:rPr>
          <w:rStyle w:val="VerbatimChar"/>
        </w:rPr>
        <w:t xml:space="preserve">from rfbfs.schema import TypeGraph</w:t>
      </w:r>
      <w:r>
        <w:br/>
      </w:r>
      <w:r>
        <w:rPr>
          <w:rStyle w:val="VerbatimChar"/>
        </w:rPr>
        <w:t xml:space="preserve">from rfbfs.queries import QUERIES</w:t>
      </w:r>
      <w:r>
        <w:br/>
      </w:r>
      <w:r>
        <w:rPr>
          <w:rStyle w:val="VerbatimChar"/>
        </w:rPr>
        <w:t xml:space="preserve">from rfbfs.discover import crawl_levels</w:t>
      </w:r>
      <w:r>
        <w:br/>
      </w:r>
      <w:r>
        <w:rPr>
          <w:rStyle w:val="VerbatimChar"/>
        </w:rPr>
        <w:t xml:space="preserve">from rfbfs.https import HttpsService</w:t>
      </w:r>
      <w:r>
        <w:br/>
      </w:r>
      <w:r>
        <w:br/>
      </w:r>
      <w:r>
        <w:rPr>
          <w:rStyle w:val="VerbatimChar"/>
        </w:rPr>
        <w:t xml:space="preserve">H = TypeGraph.from_schema_dir("DSP8010_2026.2/json-schema")  # once per bundle</w:t>
      </w:r>
      <w:r>
        <w:br/>
      </w:r>
      <w:r>
        <w:rPr>
          <w:rStyle w:val="VerbatimChar"/>
        </w:rPr>
        <w:t xml:space="preserve">svc = HttpsService("https://bmc-17.example", "monitor", secret,</w:t>
      </w:r>
      <w:r>
        <w:br/>
      </w:r>
      <w:r>
        <w:rPr>
          <w:rStyle w:val="VerbatimChar"/>
        </w:rPr>
        <w:t xml:space="preserve">                   verify_tls=False)                           # same get() interface</w:t>
      </w:r>
      <w:r>
        <w:br/>
      </w:r>
      <w:r>
        <w:rPr>
          <w:rStyle w:val="VerbatimChar"/>
        </w:rPr>
        <w:t xml:space="preserve">inv = crawl_levels(svc, list(QUERIES.values()), schema=H, workers=4)  # SP-BFS</w:t>
      </w:r>
      <w:r>
        <w:br/>
      </w:r>
      <w:r>
        <w:rPr>
          <w:rStyle w:val="VerbatimChar"/>
        </w:rPr>
        <w:t xml:space="preserve">poll_set = {x.split("#")[0] for ids in inv.targets.values() for x in ids}</w:t>
      </w:r>
    </w:p>
    <w:bookmarkEnd w:id="61"/>
    <w:bookmarkStart w:id="62" w:name="engineering-aspects"/>
    <w:p>
      <w:pPr>
        <w:pStyle w:val="Heading2"/>
      </w:pPr>
      <w:r>
        <w:t xml:space="preserve">6.3 Engineering Aspects</w:t>
      </w:r>
    </w:p>
    <w:p>
      <w:pPr>
        <w:pStyle w:val="FirstParagraph"/>
      </w:pPr>
      <w:r>
        <w:rPr>
          <w:bCs/>
          <w:b/>
        </w:rPr>
        <w:t xml:space="preserve">Sessions and authentication.</w:t>
      </w:r>
      <w:r>
        <w:t xml:space="preserve"> </w:t>
      </w:r>
      <w:r>
        <w:t xml:space="preserve">The collector creates one Redfish</w:t>
      </w:r>
      <w:r>
        <w:t xml:space="preserve"> </w:t>
      </w:r>
      <w:r>
        <w:t xml:space="preserve">session per BMC (</w:t>
      </w:r>
      <w:r>
        <w:rPr>
          <w:rStyle w:val="VerbatimChar"/>
        </w:rPr>
        <w:t xml:space="preserve">POST</w:t>
      </w:r>
      <w:r>
        <w:t xml:space="preserve"> </w:t>
      </w:r>
      <w:r>
        <w:t xml:space="preserve">to the</w:t>
      </w:r>
      <w:r>
        <w:t xml:space="preserve"> </w:t>
      </w:r>
      <w:r>
        <w:rPr>
          <w:rStyle w:val="VerbatimChar"/>
        </w:rPr>
        <w:t xml:space="preserve">Sessions</w:t>
      </w:r>
      <w:r>
        <w:t xml:space="preserve"> </w:t>
      </w:r>
      <w:r>
        <w:t xml:space="preserve">collection of the</w:t>
      </w:r>
      <w:r>
        <w:t xml:space="preserve"> </w:t>
      </w:r>
      <w:r>
        <w:rPr>
          <w:rStyle w:val="VerbatimChar"/>
        </w:rPr>
        <w:t xml:space="preserve">SessionService</w:t>
      </w:r>
      <w:r>
        <w:t xml:space="preserve">) and sends the returned</w:t>
      </w:r>
      <w:r>
        <w:t xml:space="preserve"> </w:t>
      </w:r>
      <w:r>
        <w:rPr>
          <w:rStyle w:val="VerbatimChar"/>
        </w:rPr>
        <w:t xml:space="preserve">X-Auth-Token</w:t>
      </w:r>
      <w:r>
        <w:t xml:space="preserve"> </w:t>
      </w:r>
      <w:r>
        <w:t xml:space="preserve">with every</w:t>
      </w:r>
      <w:r>
        <w:t xml:space="preserve"> </w:t>
      </w:r>
      <w:r>
        <w:t xml:space="preserve">request, falling back to HTTP Basic authentication where sessions are not</w:t>
      </w:r>
      <w:r>
        <w:t xml:space="preserve"> </w:t>
      </w:r>
      <w:r>
        <w:t xml:space="preserve">available. The monitoring account needs only the read-only</w:t>
      </w:r>
      <w:r>
        <w:t xml:space="preserve"> </w:t>
      </w:r>
      <w:r>
        <w:rPr>
          <w:rStyle w:val="VerbatimChar"/>
        </w:rPr>
        <w:t xml:space="preserve">ReadOnly</w:t>
      </w:r>
      <w:r>
        <w:t xml:space="preserve"> </w:t>
      </w:r>
      <w:r>
        <w:t xml:space="preserve">role.</w:t>
      </w:r>
    </w:p>
    <w:p>
      <w:pPr>
        <w:pStyle w:val="BodyText"/>
      </w:pPr>
      <w:r>
        <w:rPr>
          <w:bCs/>
          <w:b/>
        </w:rPr>
        <w:t xml:space="preserve">Concurrency.</w:t>
      </w:r>
      <w:r>
        <w:t xml:space="preserve"> </w:t>
      </w:r>
      <w:r>
        <w:t xml:space="preserve">Level-synchronous BFS (Section 5.6) is</w:t>
      </w:r>
      <w:r>
        <w:t xml:space="preserve"> </w:t>
      </w:r>
      <w:r>
        <w:t xml:space="preserve">implemented by fetching the current frontier with a bounded worker pool before</w:t>
      </w:r>
      <w:r>
        <w:t xml:space="preserve"> </w:t>
      </w:r>
      <w:r>
        <w:t xml:space="preserve">building the next one. The fetched level is then processed in document order,</w:t>
      </w:r>
      <w:r>
        <w:t xml:space="preserve"> </w:t>
      </w:r>
      <w:r>
        <w:t xml:space="preserve">so the result, including the request count, is identical to the sequential</w:t>
      </w:r>
      <w:r>
        <w:t xml:space="preserve"> </w:t>
      </w:r>
      <w:r>
        <w:t xml:space="preserve">traversal; we verified this on all 26 services of the evaluation. The bound</w:t>
      </w:r>
      <w:r>
        <w:t xml:space="preserve"> </w:t>
      </w:r>
      <m:oMath>
        <m:r>
          <m:t>c</m:t>
        </m:r>
      </m:oMath>
      <w:r>
        <w:t xml:space="preserve"> </w:t>
      </w:r>
      <w:r>
        <w:t xml:space="preserve">is configurable per vendor because BMCs differ in how many parallel requests</w:t>
      </w:r>
      <w:r>
        <w:t xml:space="preserve"> </w:t>
      </w:r>
      <w:r>
        <w:t xml:space="preserve">they tolerate.</w:t>
      </w:r>
    </w:p>
    <w:p>
      <w:pPr>
        <w:pStyle w:val="BodyText"/>
      </w:pPr>
      <w:r>
        <w:rPr>
          <w:bCs/>
          <w:b/>
        </w:rPr>
        <w:t xml:space="preserve">Robustness.</w:t>
      </w:r>
      <w:r>
        <w:t xml:space="preserve"> </w:t>
      </w:r>
      <w:r>
        <w:t xml:space="preserve">A failed request (timeout, 5xx, invalid JSON) is</w:t>
      </w:r>
      <w:r>
        <w:t xml:space="preserve"> </w:t>
      </w:r>
      <w:r>
        <w:t xml:space="preserve">retried with exponential back-off and, if it still fails, recorded in the</w:t>
      </w:r>
      <w:r>
        <w:t xml:space="preserve"> </w:t>
      </w:r>
      <w:r>
        <w:t xml:space="preserve">result’s list of failed URIs, so that the inventory is marked as incomplete</w:t>
      </w:r>
      <w:r>
        <w:t xml:space="preserve"> </w:t>
      </w:r>
      <w:r>
        <w:t xml:space="preserve">instead of silently missing a branch. The mockups contain such</w:t>
      </w:r>
      <w:r>
        <w:t xml:space="preserve"> </w:t>
      </w:r>
      <w:r>
        <w:t xml:space="preserve">defects too, e.g. URIs whose percent-encoding differs from the stored path</w:t>
      </w:r>
      <w:r>
        <w:t xml:space="preserve"> </w:t>
      </w:r>
      <w:r>
        <w:t xml:space="preserve">and directories whose letter case differs from the advertised URI; the mockup</w:t>
      </w:r>
      <w:r>
        <w:t xml:space="preserve"> </w:t>
      </w:r>
      <w:r>
        <w:t xml:space="preserve">transport tolerates both, as a careful HTTP client would.</w:t>
      </w:r>
    </w:p>
    <w:p>
      <w:pPr>
        <w:pStyle w:val="BodyText"/>
      </w:pPr>
      <w:r>
        <w:rPr>
          <w:bCs/>
          <w:b/>
        </w:rPr>
        <w:t xml:space="preserve">Identity and deduplication.</w:t>
      </w:r>
      <w:r>
        <w:t xml:space="preserve"> </w:t>
      </w:r>
      <w:r>
        <w:t xml:space="preserve">Answers are keyed by the identity</w:t>
      </w:r>
      <w:r>
        <w:t xml:space="preserve"> </w:t>
      </w:r>
      <w:r>
        <w:t xml:space="preserve">function</w:t>
      </w:r>
      <w:r>
        <w:t xml:space="preserve"> </w:t>
      </w:r>
      <m:oMath>
        <m:r>
          <m:t>ι</m:t>
        </m:r>
      </m:oMath>
      <w:r>
        <w:t xml:space="preserve"> </w:t>
      </w:r>
      <w:r>
        <w:t xml:space="preserve">of Definition 4.2, so the same power supply reported both as</w:t>
      </w:r>
      <w:r>
        <w:t xml:space="preserve"> </w:t>
      </w:r>
      <w:r>
        <w:t xml:space="preserve">an embedded element and as a resource (early iDRAC firmware) is stored once. A</w:t>
      </w:r>
      <w:r>
        <w:t xml:space="preserve"> </w:t>
      </w:r>
      <w:r>
        <w:t xml:space="preserve">remaining source of duplicates is services that implement both the legacy and</w:t>
      </w:r>
      <w:r>
        <w:t xml:space="preserve"> </w:t>
      </w:r>
      <w:r>
        <w:t xml:space="preserve">the new power/thermal model. Their embedded and resource representations have</w:t>
      </w:r>
      <w:r>
        <w:t xml:space="preserve"> </w:t>
      </w:r>
      <w:r>
        <w:t xml:space="preserve">different identities and are currently reported separately; merging them by</w:t>
      </w:r>
      <w:r>
        <w:t xml:space="preserve"> </w:t>
      </w:r>
      <w:r>
        <w:t xml:space="preserve">their</w:t>
      </w:r>
      <w:r>
        <w:t xml:space="preserve"> </w:t>
      </w:r>
      <w:r>
        <w:rPr>
          <w:rStyle w:val="VerbatimChar"/>
        </w:rPr>
        <w:t xml:space="preserve">Location</w:t>
      </w:r>
      <w:r>
        <w:t xml:space="preserve"> </w:t>
      </w:r>
      <w:r>
        <w:t xml:space="preserve">and serial-number properties is left as future work</w:t>
      </w:r>
      <w:r>
        <w:t xml:space="preserve"> </w:t>
      </w:r>
      <w:r>
        <w:t xml:space="preserve">(Section 8.3).</w:t>
      </w:r>
    </w:p>
    <w:p>
      <w:pPr>
        <w:pStyle w:val="BodyText"/>
      </w:pPr>
      <w:r>
        <w:rPr>
          <w:bCs/>
          <w:b/>
        </w:rPr>
        <w:t xml:space="preserve">Schema updates.</w:t>
      </w:r>
      <w:r>
        <w:t xml:space="preserve"> </w:t>
      </w:r>
      <w:r>
        <w:t xml:space="preserve">The type graph is built from whatever schema bundle</w:t>
      </w:r>
      <w:r>
        <w:t xml:space="preserve"> </w:t>
      </w:r>
      <w:r>
        <w:t xml:space="preserve">is configured. Because it is the union over all versions and schemas only ever</w:t>
      </w:r>
      <w:r>
        <w:t xml:space="preserve"> </w:t>
      </w:r>
      <w:r>
        <w:t xml:space="preserve">add properties, a newer bundle can only add edges, so upgrading the bundle</w:t>
      </w:r>
      <w:r>
        <w:t xml:space="preserve"> </w:t>
      </w:r>
      <w:r>
        <w:t xml:space="preserve">never makes pruning less sound.</w:t>
      </w:r>
    </w:p>
    <w:bookmarkEnd w:id="62"/>
    <w:bookmarkStart w:id="63" w:name="evaluation-harness"/>
    <w:p>
      <w:pPr>
        <w:pStyle w:val="Heading2"/>
      </w:pPr>
      <w:r>
        <w:t xml:space="preserve">6.4 Evaluation Harness</w:t>
      </w:r>
    </w:p>
    <w:p>
      <w:pPr>
        <w:pStyle w:val="FirstParagraph"/>
      </w:pPr>
      <w:r>
        <w:t xml:space="preserve">The evaluation (Chapter 7) runs every strategy against every mockup</w:t>
      </w:r>
      <w:r>
        <w:t xml:space="preserve"> </w:t>
      </w:r>
      <w:r>
        <w:t xml:space="preserve">through the same</w:t>
      </w:r>
      <w:r>
        <w:t xml:space="preserve"> </w:t>
      </w:r>
      <w:r>
        <w:rPr>
          <w:rStyle w:val="VerbatimChar"/>
        </w:rPr>
        <w:t xml:space="preserve">MockupService</w:t>
      </w:r>
      <w:r>
        <w:t xml:space="preserve">, so that request counts are directly</w:t>
      </w:r>
      <w:r>
        <w:t xml:space="preserve"> </w:t>
      </w:r>
      <w:r>
        <w:t xml:space="preserve">comparable. The script</w:t>
      </w:r>
      <w:r>
        <w:t xml:space="preserve"> </w:t>
      </w:r>
      <w:r>
        <w:rPr>
          <w:rStyle w:val="VerbatimChar"/>
        </w:rPr>
        <w:t xml:space="preserve">run_experiments.py</w:t>
      </w:r>
      <w:r>
        <w:t xml:space="preserve"> </w:t>
      </w:r>
      <w:r>
        <w:t xml:space="preserve">writes per-mockup,</w:t>
      </w:r>
      <w:r>
        <w:t xml:space="preserve"> </w:t>
      </w:r>
      <w:r>
        <w:t xml:space="preserve">per-category, per-query and per-level results as CSV/JSON files, and</w:t>
      </w:r>
      <w:r>
        <w:t xml:space="preserve"> </w:t>
      </w:r>
      <w:r>
        <w:rPr>
          <w:rStyle w:val="VerbatimChar"/>
        </w:rPr>
        <w:t xml:space="preserve">make_figures.py</w:t>
      </w:r>
      <w:r>
        <w:t xml:space="preserve"> </w:t>
      </w:r>
      <w:r>
        <w:t xml:space="preserve">computes all aggregate numbers and figures reported in</w:t>
      </w:r>
      <w:r>
        <w:t xml:space="preserve"> </w:t>
      </w:r>
      <w:r>
        <w:t xml:space="preserve">this thesis from those files. Appendix B lists the exact data sources and</w:t>
      </w:r>
      <w:r>
        <w:t xml:space="preserve"> </w:t>
      </w:r>
      <w:r>
        <w:t xml:space="preserve">commands.</w:t>
      </w:r>
    </w:p>
    <w:bookmarkEnd w:id="63"/>
    <w:bookmarkEnd w:id="64"/>
    <w:bookmarkStart w:id="87" w:name="evaluation"/>
    <w:p>
      <w:pPr>
        <w:pStyle w:val="Heading1"/>
      </w:pPr>
      <w:r>
        <w:t xml:space="preserve">7 Evaluation</w:t>
      </w:r>
    </w:p>
    <w:p>
      <w:pPr>
        <w:pStyle w:val="FirstParagraph"/>
      </w:pPr>
      <w:r>
        <w:t xml:space="preserve">This chapter answers the research questions of Chapter 1 on 26 recorded</w:t>
      </w:r>
      <w:r>
        <w:t xml:space="preserve"> </w:t>
      </w:r>
      <w:r>
        <w:t xml:space="preserve">Redfish services. Section 7.1 describes data, baselines and metrics;</w:t>
      </w:r>
      <w:r>
        <w:t xml:space="preserve"> </w:t>
      </w:r>
      <w:r>
        <w:t xml:space="preserve">Sections 7.2, 7.3, 7.4 and 7.5 address RQ1–RQ4;</w:t>
      </w:r>
      <w:r>
        <w:t xml:space="preserve"> </w:t>
      </w:r>
      <w:r>
        <w:t xml:space="preserve">Section 7.6 reports on the shape of the resource trees; and</w:t>
      </w:r>
      <w:r>
        <w:t xml:space="preserve"> </w:t>
      </w:r>
      <w:r>
        <w:t xml:space="preserve">Section 7.7 discusses the results and threats to validity.</w:t>
      </w:r>
    </w:p>
    <w:bookmarkStart w:id="69" w:name="experimental-setup"/>
    <w:p>
      <w:pPr>
        <w:pStyle w:val="Heading2"/>
      </w:pPr>
      <w:r>
        <w:t xml:space="preserve">7.1 Experimental Setup</w:t>
      </w:r>
    </w:p>
    <w:bookmarkStart w:id="65" w:name="services"/>
    <w:p>
      <w:pPr>
        <w:pStyle w:val="Heading3"/>
      </w:pPr>
      <w:r>
        <w:t xml:space="preserve">7.1.1 Services</w:t>
      </w:r>
    </w:p>
    <w:p>
      <w:pPr>
        <w:pStyle w:val="FirstParagraph"/>
      </w:pPr>
      <w:r>
        <w:t xml:space="preserve">Live access to many server models of different vendors and generations is</w:t>
      </w:r>
      <w:r>
        <w:t xml:space="preserve"> </w:t>
      </w:r>
      <w:r>
        <w:t xml:space="preserve">rarely available to a single project. We therefore evaluate on</w:t>
      </w:r>
      <w:r>
        <w:t xml:space="preserve"> </w:t>
      </w:r>
      <w:r>
        <w:rPr>
          <w:iCs/>
          <w:i/>
        </w:rPr>
        <w:t xml:space="preserve">mockups</w:t>
      </w:r>
      <w:r>
        <w:t xml:space="preserve">:</w:t>
      </w:r>
      <w:r>
        <w:t xml:space="preserve"> </w:t>
      </w:r>
      <w:r>
        <w:t xml:space="preserve">complete recordings of Redfish services created with the DMTF Mockup Creator or</w:t>
      </w:r>
      <w:r>
        <w:t xml:space="preserve"> </w:t>
      </w:r>
      <w:r>
        <w:t xml:space="preserve">equivalent tools, in which every resource is stored as the JSON document the</w:t>
      </w:r>
      <w:r>
        <w:t xml:space="preserve"> </w:t>
      </w:r>
      <w:r>
        <w:t xml:space="preserve">BMC returned </w:t>
      </w:r>
      <w:hyperlink w:anchor="ref-dmtf_mockup_creator">
        <w:r>
          <w:rPr>
            <w:rStyle w:val="Hyperlink"/>
          </w:rPr>
          <w:t xml:space="preserve">[26]</w:t>
        </w:r>
      </w:hyperlink>
      <w:r>
        <w:t xml:space="preserve">. A mockup reproduces the resource graph</w:t>
      </w:r>
      <w:r>
        <w:t xml:space="preserve"> </w:t>
      </w:r>
      <w:r>
        <w:t xml:space="preserve">exactly, so request counts and discovery results are identical to those</w:t>
      </w:r>
      <w:r>
        <w:t xml:space="preserve"> </w:t>
      </w:r>
      <w:r>
        <w:t xml:space="preserve">against the live service. What a mockup cannot reproduce is latency, which we</w:t>
      </w:r>
      <w:r>
        <w:t xml:space="preserve"> </w:t>
      </w:r>
      <w:r>
        <w:t xml:space="preserve">therefore model separately (Section 7.5).</w:t>
      </w:r>
    </w:p>
    <w:p>
      <w:pPr>
        <w:pStyle w:val="BodyText"/>
      </w:pPr>
      <w:r>
        <w:t xml:space="preserve">We collected all public server mockups we could find, from four sources:</w:t>
      </w:r>
    </w:p>
    <w:p>
      <w:pPr>
        <w:numPr>
          <w:ilvl w:val="0"/>
          <w:numId w:val="1006"/>
        </w:numPr>
      </w:pPr>
      <w:r>
        <w:t xml:space="preserve">the DMTF reference mockups of the Redfish-Publications repository at</w:t>
      </w:r>
      <w:r>
        <w:t xml:space="preserve"> </w:t>
      </w:r>
      <w:r>
        <w:t xml:space="preserve">release 2026.2 (</w:t>
      </w:r>
      <w:r>
        <w:rPr>
          <w:rStyle w:val="VerbatimChar"/>
        </w:rPr>
        <w:t xml:space="preserve">public-rackmount1</w:t>
      </w:r>
      <w:r>
        <w:t xml:space="preserve">,</w:t>
      </w:r>
      <w:r>
        <w:t xml:space="preserve"> </w:t>
      </w:r>
      <w:r>
        <w:rPr>
          <w:rStyle w:val="VerbatimChar"/>
        </w:rPr>
        <w:t xml:space="preserve">-tower</w:t>
      </w:r>
      <w:r>
        <w:t xml:space="preserve">,</w:t>
      </w:r>
      <w:r>
        <w:t xml:space="preserve"> </w:t>
      </w:r>
      <w:r>
        <w:rPr>
          <w:rStyle w:val="VerbatimChar"/>
        </w:rPr>
        <w:t xml:space="preserve">-bladed</w:t>
      </w:r>
      <w:r>
        <w:t xml:space="preserve">,</w:t>
      </w:r>
      <w:r>
        <w:t xml:space="preserve"> </w:t>
      </w:r>
      <w:r>
        <w:rPr>
          <w:rStyle w:val="VerbatimChar"/>
        </w:rPr>
        <w:t xml:space="preserve">-localstorage</w:t>
      </w:r>
      <w:r>
        <w:t xml:space="preserve">,</w:t>
      </w:r>
      <w:r>
        <w:t xml:space="preserve"> </w:t>
      </w:r>
      <w:r>
        <w:rPr>
          <w:rStyle w:val="VerbatimChar"/>
        </w:rPr>
        <w:t xml:space="preserve">-smartnic</w:t>
      </w:r>
      <w:r>
        <w:t xml:space="preserve">,</w:t>
      </w:r>
      <w:r>
        <w:t xml:space="preserve"> </w:t>
      </w:r>
      <w:r>
        <w:rPr>
          <w:rStyle w:val="VerbatimChar"/>
        </w:rPr>
        <w:t xml:space="preserve">-liquid-cooled-server</w:t>
      </w:r>
      <w:r>
        <w:t xml:space="preserve">);</w:t>
      </w:r>
    </w:p>
    <w:p>
      <w:pPr>
        <w:numPr>
          <w:ilvl w:val="0"/>
          <w:numId w:val="1006"/>
        </w:numPr>
      </w:pPr>
      <w:r>
        <w:t xml:space="preserve">five Dell PowerEdge servers with iDRAC 7/8/9 firmware (R720, R740,</w:t>
      </w:r>
      <w:r>
        <w:t xml:space="preserve"> </w:t>
      </w:r>
      <w:r>
        <w:t xml:space="preserve">T630, C6320, FC630) from Dell’s open-source Sailfish project;</w:t>
      </w:r>
    </w:p>
    <w:p>
      <w:pPr>
        <w:numPr>
          <w:ilvl w:val="0"/>
          <w:numId w:val="1006"/>
        </w:numPr>
      </w:pPr>
      <w:r>
        <w:t xml:space="preserve">seven HPE ProLiant servers with iLO 5, iLO 6 and iLO 7 firmware from</w:t>
      </w:r>
      <w:r>
        <w:t xml:space="preserve"> </w:t>
      </w:r>
      <w:r>
        <w:t xml:space="preserve">HPE’s iLO Redfish emulator;</w:t>
      </w:r>
    </w:p>
    <w:p>
      <w:pPr>
        <w:numPr>
          <w:ilvl w:val="0"/>
          <w:numId w:val="1006"/>
        </w:numPr>
      </w:pPr>
      <w:r>
        <w:t xml:space="preserve">eight servers from the HPE Cray System Management Redfish emulator:</w:t>
      </w:r>
      <w:r>
        <w:t xml:space="preserve"> </w:t>
      </w:r>
      <w:r>
        <w:t xml:space="preserve">three further HPE ProLiant/Apollo servers, three HPE Cray EX</w:t>
      </w:r>
      <w:r>
        <w:t xml:space="preserve"> </w:t>
      </w:r>
      <w:r>
        <w:t xml:space="preserve">liquid-cooled compute blades, and one Gigabyte and one Intel server.</w:t>
      </w:r>
    </w:p>
    <w:p>
      <w:pPr>
        <w:pStyle w:val="FirstParagraph"/>
      </w:pPr>
      <w:r>
        <w:t xml:space="preserve">Mockups that do not describe a server (PDUs, cooling units, switches, fabric</w:t>
      </w:r>
      <w:r>
        <w:t xml:space="preserve"> </w:t>
      </w:r>
      <w:r>
        <w:t xml:space="preserve">managers) were not included. The mockup of a stock OpenBMC build was</w:t>
      </w:r>
      <w:r>
        <w:t xml:space="preserve"> </w:t>
      </w:r>
      <w:r>
        <w:t xml:space="preserve">excluded because its system and chassis collections are empty. The resulting</w:t>
      </w:r>
      <w:r>
        <w:t xml:space="preserve"> </w:t>
      </w:r>
      <w:r>
        <w:t xml:space="preserve">26 services span Redfish protocol versions 1.0.2 to 1.20.0 and contain between</w:t>
      </w:r>
      <w:r>
        <w:t xml:space="preserve"> </w:t>
      </w:r>
      <w:r>
        <w:t xml:space="preserve">68 and 1</w:t>
      </w:r>
      <w:r>
        <w:t xml:space="preserve">,</w:t>
      </w:r>
      <w:r>
        <w:t xml:space="preserve">811 resources, 16</w:t>
      </w:r>
      <w:r>
        <w:t xml:space="preserve">,</w:t>
      </w:r>
      <w:r>
        <w:t xml:space="preserve">869 in total. Table 7.1 lists them</w:t>
      </w:r>
      <w:r>
        <w:t xml:space="preserve"> </w:t>
      </w:r>
      <w:r>
        <w:t xml:space="preserve">together with the main results.</w:t>
      </w:r>
    </w:p>
    <w:bookmarkEnd w:id="65"/>
    <w:bookmarkStart w:id="66" w:name="ground-truth"/>
    <w:p>
      <w:pPr>
        <w:pStyle w:val="Heading3"/>
      </w:pPr>
      <w:r>
        <w:t xml:space="preserve">7.1.2 Ground truth</w:t>
      </w:r>
    </w:p>
    <w:p>
      <w:pPr>
        <w:pStyle w:val="FirstParagraph"/>
      </w:pPr>
      <w:r>
        <w:t xml:space="preserve">For each service, the ground truth is obtained by a full graph crawl that</w:t>
      </w:r>
      <w:r>
        <w:t xml:space="preserve"> </w:t>
      </w:r>
      <w:r>
        <w:t xml:space="preserve">follows</w:t>
      </w:r>
      <w:r>
        <w:t xml:space="preserve"> </w:t>
      </w:r>
      <w:r>
        <w:rPr>
          <w:iCs/>
          <w:i/>
        </w:rPr>
        <w:t xml:space="preserve">all</w:t>
      </w:r>
      <w:r>
        <w:t xml:space="preserve"> </w:t>
      </w:r>
      <w:r>
        <w:t xml:space="preserve">references, including</w:t>
      </w:r>
      <w:r>
        <w:t xml:space="preserve"> </w:t>
      </w:r>
      <w:r>
        <w:rPr>
          <w:rStyle w:val="VerbatimChar"/>
        </w:rPr>
        <w:t xml:space="preserve">Links</w:t>
      </w:r>
      <w:r>
        <w:t xml:space="preserve"> </w:t>
      </w:r>
      <w:r>
        <w:t xml:space="preserve">and</w:t>
      </w:r>
      <w:r>
        <w:t xml:space="preserve"> </w:t>
      </w:r>
      <w:r>
        <w:rPr>
          <w:rStyle w:val="VerbatimChar"/>
        </w:rPr>
        <w:t xml:space="preserve">Oem</w:t>
      </w:r>
      <w:r>
        <w:t xml:space="preserve"> </w:t>
      </w:r>
      <w:r>
        <w:t xml:space="preserve">subtrees, and</w:t>
      </w:r>
      <w:r>
        <w:t xml:space="preserve"> </w:t>
      </w:r>
      <w:r>
        <w:t xml:space="preserve">evaluates the six queries of Table 4.1 on every resource. Answers inside</w:t>
      </w:r>
      <w:r>
        <w:t xml:space="preserve"> </w:t>
      </w:r>
      <w:r>
        <w:t xml:space="preserve">the BMC’s own subtree (below a</w:t>
      </w:r>
      <w:r>
        <w:t xml:space="preserve"> </w:t>
      </w:r>
      <w:r>
        <w:rPr>
          <w:rStyle w:val="VerbatimChar"/>
        </w:rPr>
        <w:t xml:space="preserve">Manager</w:t>
      </w:r>
      <w:r>
        <w:t xml:space="preserve">) and pending-configuration copies</w:t>
      </w:r>
      <w:r>
        <w:t xml:space="preserve"> </w:t>
      </w:r>
      <w:r>
        <w:t xml:space="preserve">referenced by</w:t>
      </w:r>
      <w:r>
        <w:t xml:space="preserve"> </w:t>
      </w:r>
      <w:r>
        <w:rPr>
          <w:rStyle w:val="VerbatimChar"/>
        </w:rPr>
        <w:t xml:space="preserve">@Redfish.Settings</w:t>
      </w:r>
      <w:r>
        <w:t xml:space="preserve"> </w:t>
      </w:r>
      <w:r>
        <w:t xml:space="preserve">are removed, because they do not describe</w:t>
      </w:r>
      <w:r>
        <w:t xml:space="preserve"> </w:t>
      </w:r>
      <w:r>
        <w:t xml:space="preserve">host hardware. The ground truth contains 2</w:t>
      </w:r>
      <w:r>
        <w:t xml:space="preserve">,</w:t>
      </w:r>
      <w:r>
        <w:t xml:space="preserve">248 monitored components: 82</w:t>
      </w:r>
      <w:r>
        <w:t xml:space="preserve"> </w:t>
      </w:r>
      <w:r>
        <w:t xml:space="preserve">processors, 456 memory modules, 108 drives, 134 network interfaces and adapters,</w:t>
      </w:r>
      <w:r>
        <w:t xml:space="preserve"> </w:t>
      </w:r>
      <w:r>
        <w:t xml:space="preserve">70 power supplies, and 1</w:t>
      </w:r>
      <w:r>
        <w:t xml:space="preserve">,</w:t>
      </w:r>
      <w:r>
        <w:t xml:space="preserve">398 fans and temperature sensors. Building it took</w:t>
      </w:r>
      <w:r>
        <w:t xml:space="preserve"> </w:t>
      </w:r>
      <w:r>
        <w:t xml:space="preserve">18</w:t>
      </w:r>
      <w:r>
        <w:t xml:space="preserve">,</w:t>
      </w:r>
      <w:r>
        <w:t xml:space="preserve">205 requests.</w:t>
      </w:r>
    </w:p>
    <w:bookmarkEnd w:id="66"/>
    <w:bookmarkStart w:id="67" w:name="strategies"/>
    <w:p>
      <w:pPr>
        <w:pStyle w:val="Heading3"/>
      </w:pPr>
      <w:r>
        <w:t xml:space="preserve">7.1.3 Strategies</w:t>
      </w:r>
    </w:p>
    <w:p>
      <w:pPr>
        <w:pStyle w:val="DefinitionTerm"/>
      </w:pPr>
      <w:r>
        <w:t xml:space="preserve">Static-legacy</w:t>
      </w:r>
    </w:p>
    <w:p>
      <w:pPr>
        <w:pStyle w:val="Definition"/>
      </w:pPr>
      <w:r>
        <w:t xml:space="preserve">Hand-written navigation for the pre-2020 model:</w:t>
      </w:r>
      <w:r>
        <w:t xml:space="preserve"> </w:t>
      </w:r>
      <w:r>
        <w:rPr>
          <w:rStyle w:val="VerbatimChar"/>
        </w:rPr>
        <w:t xml:space="preserve">Systems/*/Processors/*</w:t>
      </w:r>
      <w:r>
        <w:t xml:space="preserve">,</w:t>
      </w:r>
      <w:r>
        <w:t xml:space="preserve"> </w:t>
      </w:r>
      <w:r>
        <w:rPr>
          <w:rStyle w:val="VerbatimChar"/>
        </w:rPr>
        <w:t xml:space="preserve">Systems/*/Memory/*</w:t>
      </w:r>
      <w:r>
        <w:t xml:space="preserve">,</w:t>
      </w:r>
      <w:r>
        <w:t xml:space="preserve"> </w:t>
      </w:r>
      <w:r>
        <w:rPr>
          <w:rStyle w:val="VerbatimChar"/>
        </w:rPr>
        <w:t xml:space="preserve">Systems/*/SimpleStorage/*#Devices</w:t>
      </w:r>
      <w:r>
        <w:t xml:space="preserve">,</w:t>
      </w:r>
      <w:r>
        <w:t xml:space="preserve"> </w:t>
      </w:r>
      <w:r>
        <w:rPr>
          <w:rStyle w:val="VerbatimChar"/>
        </w:rPr>
        <w:t xml:space="preserve">Systems/*/EthernetInterfaces/*</w:t>
      </w:r>
      <w:r>
        <w:t xml:space="preserve">,</w:t>
      </w:r>
      <w:r>
        <w:t xml:space="preserve"> </w:t>
      </w:r>
      <w:r>
        <w:rPr>
          <w:rStyle w:val="VerbatimChar"/>
        </w:rPr>
        <w:t xml:space="preserve">Chassis/*/Power#PowerSupplies</w:t>
      </w:r>
      <w:r>
        <w:t xml:space="preserve"> </w:t>
      </w:r>
      <w:r>
        <w:t xml:space="preserve">and</w:t>
      </w:r>
      <w:r>
        <w:t xml:space="preserve"> </w:t>
      </w:r>
      <w:r>
        <w:rPr>
          <w:rStyle w:val="VerbatimChar"/>
        </w:rPr>
        <w:t xml:space="preserve">Chassis/*/Thermal#Fans,Temperatures</w:t>
      </w:r>
      <w:r>
        <w:t xml:space="preserve">.</w:t>
      </w:r>
      <w:r>
        <w:t xml:space="preserve"> </w:t>
      </w:r>
      <w:r>
        <w:t xml:space="preserve">Collections are enumerated (</w:t>
      </w:r>
      <w:r>
        <w:rPr>
          <w:rStyle w:val="VerbatimChar"/>
        </w:rPr>
        <w:t xml:space="preserve">*</w:t>
      </w:r>
      <w:r>
        <w:t xml:space="preserve">), so identifiers are not hard-coded.</w:t>
      </w:r>
      <w:r>
        <w:t xml:space="preserve"> </w:t>
      </w:r>
      <w:r>
        <w:t xml:space="preserve">This is how the tools discussed in Section 3.1 work.</w:t>
      </w:r>
    </w:p>
    <w:p>
      <w:pPr>
        <w:pStyle w:val="DefinitionTerm"/>
      </w:pPr>
      <w:r>
        <w:t xml:space="preserve">Static-modern</w:t>
      </w:r>
    </w:p>
    <w:p>
      <w:pPr>
        <w:pStyle w:val="Definition"/>
      </w:pPr>
      <w:r>
        <w:t xml:space="preserve">The same for the current model:</w:t>
      </w:r>
      <w:r>
        <w:t xml:space="preserve"> </w:t>
      </w:r>
      <w:r>
        <w:rPr>
          <w:rStyle w:val="VerbatimChar"/>
        </w:rPr>
        <w:t xml:space="preserve">Storage/*/Drives</w:t>
      </w:r>
      <w:r>
        <w:t xml:space="preserve">,</w:t>
      </w:r>
      <w:r>
        <w:t xml:space="preserve"> </w:t>
      </w:r>
      <w:r>
        <w:rPr>
          <w:rStyle w:val="VerbatimChar"/>
        </w:rPr>
        <w:t xml:space="preserve">Chassis/*/NetworkAdapters/*</w:t>
      </w:r>
      <w:r>
        <w:t xml:space="preserve">,</w:t>
      </w:r>
      <w:r>
        <w:t xml:space="preserve"> </w:t>
      </w:r>
      <w:r>
        <w:rPr>
          <w:rStyle w:val="VerbatimChar"/>
        </w:rPr>
        <w:t xml:space="preserve">PowerSubsystem/PowerSupplies/*</w:t>
      </w:r>
      <w:r>
        <w:t xml:space="preserve">,</w:t>
      </w:r>
      <w:r>
        <w:t xml:space="preserve"> </w:t>
      </w:r>
      <w:r>
        <w:rPr>
          <w:rStyle w:val="VerbatimChar"/>
        </w:rPr>
        <w:t xml:space="preserve">ThermalSubsystem/Fans/*</w:t>
      </w:r>
      <w:r>
        <w:t xml:space="preserve"> </w:t>
      </w:r>
      <w:r>
        <w:t xml:space="preserve">and</w:t>
      </w:r>
      <w:r>
        <w:t xml:space="preserve"> </w:t>
      </w:r>
      <w:r>
        <w:rPr>
          <w:rStyle w:val="VerbatimChar"/>
        </w:rPr>
        <w:t xml:space="preserve">Chassis/*/Sensors/*</w:t>
      </w:r>
      <w:r>
        <w:t xml:space="preserve">.</w:t>
      </w:r>
    </w:p>
    <w:p>
      <w:pPr>
        <w:pStyle w:val="DefinitionTerm"/>
      </w:pPr>
      <w:r>
        <w:t xml:space="preserve">Static-union</w:t>
      </w:r>
    </w:p>
    <w:p>
      <w:pPr>
        <w:pStyle w:val="Definition"/>
      </w:pPr>
      <w:r>
        <w:t xml:space="preserve">Both recipe sets, sharing a response cache, i.e. the</w:t>
      </w:r>
      <w:r>
        <w:t xml:space="preserve"> </w:t>
      </w:r>
      <w:r>
        <w:t xml:space="preserve">best a maintainer who knows both schema generations can do with fixed</w:t>
      </w:r>
      <w:r>
        <w:t xml:space="preserve"> </w:t>
      </w:r>
      <w:r>
        <w:t xml:space="preserve">paths. The recipes are listed in Appendix A.</w:t>
      </w:r>
    </w:p>
    <w:p>
      <w:pPr>
        <w:pStyle w:val="DefinitionTerm"/>
      </w:pPr>
      <w:r>
        <w:t xml:space="preserve">Tree-DFS / Tree-BFS</w:t>
      </w:r>
    </w:p>
    <w:p>
      <w:pPr>
        <w:pStyle w:val="Definition"/>
      </w:pPr>
      <w:r>
        <w:t xml:space="preserve">Exhaustive traversal of the containment tree</w:t>
      </w:r>
      <w:r>
        <w:t xml:space="preserve"> </w:t>
      </w:r>
      <w:r>
        <w:t xml:space="preserve">(excluding</w:t>
      </w:r>
      <w:r>
        <w:t xml:space="preserve"> </w:t>
      </w:r>
      <w:r>
        <w:rPr>
          <w:rStyle w:val="VerbatimChar"/>
        </w:rPr>
        <w:t xml:space="preserve">Links</w:t>
      </w:r>
      <w:r>
        <w:t xml:space="preserve">,</w:t>
      </w:r>
      <w:r>
        <w:t xml:space="preserve"> </w:t>
      </w:r>
      <w:r>
        <w:rPr>
          <w:rStyle w:val="VerbatimChar"/>
        </w:rPr>
        <w:t xml:space="preserve">Oem</w:t>
      </w:r>
      <w:r>
        <w:t xml:space="preserve">,</w:t>
      </w:r>
      <w:r>
        <w:t xml:space="preserve"> </w:t>
      </w:r>
      <w:r>
        <w:rPr>
          <w:rStyle w:val="VerbatimChar"/>
        </w:rPr>
        <w:t xml:space="preserve">Actions</w:t>
      </w:r>
      <w:r>
        <w:t xml:space="preserve"> </w:t>
      </w:r>
      <w:r>
        <w:t xml:space="preserve">and the manager subtree)</w:t>
      </w:r>
      <w:r>
        <w:t xml:space="preserve"> </w:t>
      </w:r>
      <w:r>
        <w:t xml:space="preserve">in depth-first or breadth-first order, evaluating the queries on every</w:t>
      </w:r>
      <w:r>
        <w:t xml:space="preserve"> </w:t>
      </w:r>
      <w:r>
        <w:t xml:space="preserve">node. Tree-BFS is the original approach of the author’s tool.</w:t>
      </w:r>
    </w:p>
    <w:p>
      <w:pPr>
        <w:pStyle w:val="DefinitionTerm"/>
      </w:pPr>
      <w:r>
        <w:t xml:space="preserve">SP-BFS</w:t>
      </w:r>
    </w:p>
    <w:p>
      <w:pPr>
        <w:pStyle w:val="Definition"/>
      </w:pPr>
      <w:r>
        <w:t xml:space="preserve">Algorithm 2 with the type graph of schema bundle 2026.2.</w:t>
      </w:r>
    </w:p>
    <w:bookmarkEnd w:id="67"/>
    <w:bookmarkStart w:id="68" w:name="metrics"/>
    <w:p>
      <w:pPr>
        <w:pStyle w:val="Heading3"/>
      </w:pPr>
      <w:r>
        <w:t xml:space="preserve">7.1.4 Metrics</w:t>
      </w:r>
    </w:p>
    <w:p>
      <w:pPr>
        <w:pStyle w:val="FirstParagraph"/>
      </w:pPr>
      <w:r>
        <w:t xml:space="preserve">For service</w:t>
      </w:r>
      <w:r>
        <w:t xml:space="preserve"> </w:t>
      </w:r>
      <m:oMath>
        <m:r>
          <m:t>s</m:t>
        </m:r>
      </m:oMath>
      <w:r>
        <w:t xml:space="preserve"> </w:t>
      </w:r>
      <w:r>
        <w:t xml:space="preserve">and strategy</w:t>
      </w:r>
      <w:r>
        <w:t xml:space="preserve"> </w:t>
      </w:r>
      <m:oMath>
        <m:r>
          <m:t>S</m:t>
        </m:r>
      </m:oMath>
      <w:r>
        <w:t xml:space="preserve"> </w:t>
      </w:r>
      <w:r>
        <w:t xml:space="preserve">with answer set</w:t>
      </w:r>
      <w:r>
        <w:t xml:space="preserve"> </w:t>
      </w:r>
      <m:oMath>
        <m:sSub>
          <m:e>
            <m:r>
              <m:rPr>
                <m:scr m:val="script"/>
                <m:sty m:val="p"/>
              </m:rPr>
              <m:t>R</m:t>
            </m:r>
          </m:e>
          <m:sub>
            <m:r>
              <m:t>S</m:t>
            </m:r>
          </m:sub>
        </m:sSub>
        <m:d>
          <m:dPr>
            <m:begChr m:val="("/>
            <m:sepChr m:val=""/>
            <m:endChr m:val=")"/>
            <m:grow/>
          </m:dPr>
          <m:e>
            <m:r>
              <m:t>s</m:t>
            </m:r>
          </m:e>
        </m:d>
      </m:oMath>
      <w:r>
        <w:t xml:space="preserve"> </w:t>
      </w:r>
      <w:r>
        <w:t xml:space="preserve">and ground</w:t>
      </w:r>
      <w:r>
        <w:t xml:space="preserve"> </w:t>
      </w:r>
      <w:r>
        <w:t xml:space="preserve">truth</w:t>
      </w:r>
      <w:r>
        <w:t xml:space="preserve"> </w:t>
      </w:r>
      <m:oMath>
        <m:r>
          <m:rPr>
            <m:scr m:val="script"/>
            <m:sty m:val="p"/>
          </m:rPr>
          <m:t>G</m:t>
        </m:r>
        <m:d>
          <m:dPr>
            <m:begChr m:val="("/>
            <m:sepChr m:val=""/>
            <m:endChr m:val=")"/>
            <m:grow/>
          </m:dPr>
          <m:e>
            <m:r>
              <m:t>s</m:t>
            </m:r>
          </m:e>
        </m:d>
      </m:oMath>
      <w:r>
        <w:t xml:space="preserve"> </w:t>
      </w:r>
      <w:r>
        <w:t xml:space="preserve">(both unions over the six queries) we report</w:t>
      </w:r>
    </w:p>
    <w:p>
      <w:pPr>
        <w:tabs>
          <w:tab w:val="center" w:pos="4309"/>
          <w:tab w:val="right" w:pos="8618"/>
        </w:tabs>
        <w:spacing w:before="120" w:after="120"/>
      </w:pPr>
      <w:r>
        <w:tab/>
      </w:r>
      <m:oMath>
        <m:sSub>
          <m:e>
            <m:r>
              <m:rPr>
                <m:sty m:val="p"/>
              </m:rPr>
              <m:t>r</m:t>
            </m:r>
            <m:r>
              <m:rPr>
                <m:sty m:val="p"/>
              </m:rPr>
              <m:t>e</m:t>
            </m:r>
            <m:r>
              <m:rPr>
                <m:sty m:val="p"/>
              </m:rPr>
              <m:t>c</m:t>
            </m:r>
            <m:r>
              <m:rPr>
                <m:sty m:val="p"/>
              </m:rPr>
              <m:t>a</m:t>
            </m:r>
            <m:r>
              <m:rPr>
                <m:sty m:val="p"/>
              </m:rPr>
              <m:t>l</m:t>
            </m:r>
            <m:r>
              <m:rPr>
                <m:sty m:val="p"/>
              </m:rPr>
              <m:t>l</m:t>
            </m:r>
          </m:e>
          <m:sub>
            <m:r>
              <m:t>S</m:t>
            </m:r>
          </m:sub>
        </m:sSub>
        <m:d>
          <m:dPr>
            <m:begChr m:val="("/>
            <m:sepChr m:val=""/>
            <m:endChr m:val=")"/>
            <m:grow/>
          </m:dPr>
          <m:e>
            <m:r>
              <m:t>s</m:t>
            </m:r>
          </m:e>
        </m:d>
        <m:r>
          <m:rPr>
            <m:sty m:val="p"/>
          </m:rPr>
          <m:t>=</m:t>
        </m:r>
        <m:f>
          <m:fPr>
            <m:type m:val="bar"/>
          </m:fPr>
          <m:num>
            <m:d>
              <m:dPr>
                <m:begChr m:val="|"/>
                <m:sepChr m:val=""/>
                <m:endChr m:val="|"/>
                <m:grow/>
              </m:dPr>
              <m:e>
                <m:sSub>
                  <m:e>
                    <m:r>
                      <m:rPr>
                        <m:scr m:val="script"/>
                        <m:sty m:val="p"/>
                      </m:rPr>
                      <m:t>R</m:t>
                    </m:r>
                  </m:e>
                  <m:sub>
                    <m:r>
                      <m:t>S</m:t>
                    </m:r>
                  </m:sub>
                </m:sSub>
                <m:d>
                  <m:dPr>
                    <m:begChr m:val="("/>
                    <m:sepChr m:val=""/>
                    <m:endChr m:val=")"/>
                    <m:grow/>
                  </m:dPr>
                  <m:e>
                    <m:r>
                      <m:t>s</m:t>
                    </m:r>
                  </m:e>
                </m:d>
                <m:r>
                  <m:rPr>
                    <m:sty m:val="p"/>
                  </m:rPr>
                  <m:t>∩</m:t>
                </m:r>
                <m:r>
                  <m:rPr>
                    <m:scr m:val="script"/>
                    <m:sty m:val="p"/>
                  </m:rPr>
                  <m:t>G</m:t>
                </m:r>
                <m:d>
                  <m:dPr>
                    <m:begChr m:val="("/>
                    <m:sepChr m:val=""/>
                    <m:endChr m:val=")"/>
                    <m:grow/>
                  </m:dPr>
                  <m:e>
                    <m:r>
                      <m:t>s</m:t>
                    </m:r>
                  </m:e>
                </m:d>
              </m:e>
            </m:d>
          </m:num>
          <m:den>
            <m:d>
              <m:dPr>
                <m:begChr m:val="|"/>
                <m:sepChr m:val=""/>
                <m:endChr m:val="|"/>
                <m:grow/>
              </m:dPr>
              <m:e>
                <m:r>
                  <m:rPr>
                    <m:scr m:val="script"/>
                    <m:sty m:val="p"/>
                  </m:rPr>
                  <m:t>G</m:t>
                </m:r>
                <m:d>
                  <m:dPr>
                    <m:begChr m:val="("/>
                    <m:sepChr m:val=""/>
                    <m:endChr m:val=")"/>
                    <m:grow/>
                  </m:dPr>
                  <m:e>
                    <m:r>
                      <m:t>s</m:t>
                    </m:r>
                  </m:e>
                </m:d>
              </m:e>
            </m:d>
          </m:den>
        </m:f>
        <m:r>
          <m:rPr>
            <m:sty m:val="p"/>
          </m:rPr>
          <m:t>,</m:t>
        </m:r>
        <m:r>
          <m:t>  </m:t>
        </m:r>
        <m:sSub>
          <m:e>
            <m:r>
              <m:rPr>
                <m:sty m:val="p"/>
              </m:rPr>
              <m:t>p</m:t>
            </m:r>
            <m:r>
              <m:rPr>
                <m:sty m:val="p"/>
              </m:rPr>
              <m:t>r</m:t>
            </m:r>
            <m:r>
              <m:rPr>
                <m:sty m:val="p"/>
              </m:rPr>
              <m:t>e</m:t>
            </m:r>
            <m:r>
              <m:rPr>
                <m:sty m:val="p"/>
              </m:rPr>
              <m:t>c</m:t>
            </m:r>
            <m:r>
              <m:rPr>
                <m:sty m:val="p"/>
              </m:rPr>
              <m:t>i</m:t>
            </m:r>
            <m:r>
              <m:rPr>
                <m:sty m:val="p"/>
              </m:rPr>
              <m:t>s</m:t>
            </m:r>
            <m:r>
              <m:rPr>
                <m:sty m:val="p"/>
              </m:rPr>
              <m:t>i</m:t>
            </m:r>
            <m:r>
              <m:rPr>
                <m:sty m:val="p"/>
              </m:rPr>
              <m:t>o</m:t>
            </m:r>
            <m:r>
              <m:rPr>
                <m:sty m:val="p"/>
              </m:rPr>
              <m:t>n</m:t>
            </m:r>
          </m:e>
          <m:sub>
            <m:r>
              <m:t>S</m:t>
            </m:r>
          </m:sub>
        </m:sSub>
        <m:d>
          <m:dPr>
            <m:begChr m:val="("/>
            <m:sepChr m:val=""/>
            <m:endChr m:val=")"/>
            <m:grow/>
          </m:dPr>
          <m:e>
            <m:r>
              <m:t>s</m:t>
            </m:r>
          </m:e>
        </m:d>
        <m:r>
          <m:rPr>
            <m:sty m:val="p"/>
          </m:rPr>
          <m:t>=</m:t>
        </m:r>
        <m:f>
          <m:fPr>
            <m:type m:val="bar"/>
          </m:fPr>
          <m:num>
            <m:d>
              <m:dPr>
                <m:begChr m:val="|"/>
                <m:sepChr m:val=""/>
                <m:endChr m:val="|"/>
                <m:grow/>
              </m:dPr>
              <m:e>
                <m:sSub>
                  <m:e>
                    <m:r>
                      <m:rPr>
                        <m:scr m:val="script"/>
                        <m:sty m:val="p"/>
                      </m:rPr>
                      <m:t>R</m:t>
                    </m:r>
                  </m:e>
                  <m:sub>
                    <m:r>
                      <m:t>S</m:t>
                    </m:r>
                  </m:sub>
                </m:sSub>
                <m:d>
                  <m:dPr>
                    <m:begChr m:val="("/>
                    <m:sepChr m:val=""/>
                    <m:endChr m:val=")"/>
                    <m:grow/>
                  </m:dPr>
                  <m:e>
                    <m:r>
                      <m:t>s</m:t>
                    </m:r>
                  </m:e>
                </m:d>
                <m:r>
                  <m:rPr>
                    <m:sty m:val="p"/>
                  </m:rPr>
                  <m:t>∩</m:t>
                </m:r>
                <m:r>
                  <m:rPr>
                    <m:scr m:val="script"/>
                    <m:sty m:val="p"/>
                  </m:rPr>
                  <m:t>G</m:t>
                </m:r>
                <m:d>
                  <m:dPr>
                    <m:begChr m:val="("/>
                    <m:sepChr m:val=""/>
                    <m:endChr m:val=")"/>
                    <m:grow/>
                  </m:dPr>
                  <m:e>
                    <m:r>
                      <m:t>s</m:t>
                    </m:r>
                  </m:e>
                </m:d>
              </m:e>
            </m:d>
          </m:num>
          <m:den>
            <m:d>
              <m:dPr>
                <m:begChr m:val="|"/>
                <m:sepChr m:val=""/>
                <m:endChr m:val="|"/>
                <m:grow/>
              </m:dPr>
              <m:e>
                <m:sSub>
                  <m:e>
                    <m:r>
                      <m:rPr>
                        <m:scr m:val="script"/>
                        <m:sty m:val="p"/>
                      </m:rPr>
                      <m:t>R</m:t>
                    </m:r>
                  </m:e>
                  <m:sub>
                    <m:r>
                      <m:t>S</m:t>
                    </m:r>
                  </m:sub>
                </m:sSub>
                <m:d>
                  <m:dPr>
                    <m:begChr m:val="("/>
                    <m:sepChr m:val=""/>
                    <m:endChr m:val=")"/>
                    <m:grow/>
                  </m:dPr>
                  <m:e>
                    <m:r>
                      <m:t>s</m:t>
                    </m:r>
                  </m:e>
                </m:d>
              </m:e>
            </m:d>
          </m:den>
        </m:f>
      </m:oMath>
      <w:r>
        <w:tab/>
        <w:t>(7.1)</w:t>
      </w:r>
    </w:p>
    <w:p>
      <w:pPr>
        <w:pStyle w:val="FirstParagraph"/>
      </w:pPr>
      <w:r>
        <w:t xml:space="preserve">the micro-averaged recall over all services</w:t>
      </w:r>
      <w:r>
        <w:t xml:space="preserve"> </w:t>
      </w:r>
      <m:oMath>
        <m:nary>
          <m:naryPr>
            <m:chr m:val="∑"/>
            <m:limLoc m:val="undOvr"/>
            <m:subHide m:val="0"/>
            <m:supHide m:val="1"/>
          </m:naryPr>
          <m:sub>
            <m:r>
              <m:t>s</m:t>
            </m:r>
          </m:sub>
          <m:sup>
            <m:r>
              <m:t>​</m:t>
            </m:r>
          </m:sup>
          <m:e>
            <m:d>
              <m:dPr>
                <m:begChr m:val="|"/>
                <m:sepChr m:val=""/>
                <m:endChr m:val="|"/>
                <m:grow/>
              </m:dPr>
              <m:e>
                <m:sSub>
                  <m:e>
                    <m:r>
                      <m:rPr>
                        <m:scr m:val="script"/>
                        <m:sty m:val="p"/>
                      </m:rPr>
                      <m:t>R</m:t>
                    </m:r>
                  </m:e>
                  <m:sub>
                    <m:r>
                      <m:t>S</m:t>
                    </m:r>
                  </m:sub>
                </m:sSub>
                <m:d>
                  <m:dPr>
                    <m:begChr m:val="("/>
                    <m:sepChr m:val=""/>
                    <m:endChr m:val=")"/>
                    <m:grow/>
                  </m:dPr>
                  <m:e>
                    <m:r>
                      <m:t>s</m:t>
                    </m:r>
                  </m:e>
                </m:d>
                <m:r>
                  <m:rPr>
                    <m:sty m:val="p"/>
                  </m:rPr>
                  <m:t>∩</m:t>
                </m:r>
                <m:r>
                  <m:rPr>
                    <m:scr m:val="script"/>
                    <m:sty m:val="p"/>
                  </m:rPr>
                  <m:t>G</m:t>
                </m:r>
                <m:d>
                  <m:dPr>
                    <m:begChr m:val="("/>
                    <m:sepChr m:val=""/>
                    <m:endChr m:val=")"/>
                    <m:grow/>
                  </m:dPr>
                  <m:e>
                    <m:r>
                      <m:t>s</m:t>
                    </m:r>
                  </m:e>
                </m:d>
              </m:e>
            </m:d>
          </m:e>
        </m:nary>
        <m:r>
          <m:t> </m:t>
        </m:r>
        <m:r>
          <m:rPr>
            <m:sty m:val="p"/>
          </m:rPr>
          <m:t>/</m:t>
        </m:r>
        <m:r>
          <m:t> </m:t>
        </m:r>
        <m:nary>
          <m:naryPr>
            <m:chr m:val="∑"/>
            <m:limLoc m:val="undOvr"/>
            <m:subHide m:val="0"/>
            <m:supHide m:val="1"/>
          </m:naryPr>
          <m:sub>
            <m:r>
              <m:t>s</m:t>
            </m:r>
          </m:sub>
          <m:sup>
            <m:r>
              <m:t>​</m:t>
            </m:r>
          </m:sup>
          <m:e>
            <m:d>
              <m:dPr>
                <m:begChr m:val="|"/>
                <m:sepChr m:val=""/>
                <m:endChr m:val="|"/>
                <m:grow/>
              </m:dPr>
              <m:e>
                <m:r>
                  <m:rPr>
                    <m:scr m:val="script"/>
                    <m:sty m:val="p"/>
                  </m:rPr>
                  <m:t>G</m:t>
                </m:r>
                <m:d>
                  <m:dPr>
                    <m:begChr m:val="("/>
                    <m:sepChr m:val=""/>
                    <m:endChr m:val=")"/>
                    <m:grow/>
                  </m:dPr>
                  <m:e>
                    <m:r>
                      <m:t>s</m:t>
                    </m:r>
                  </m:e>
                </m:d>
              </m:e>
            </m:d>
          </m:e>
        </m:nary>
      </m:oMath>
      <w:r>
        <w:t xml:space="preserve">, the</w:t>
      </w:r>
      <w:r>
        <w:t xml:space="preserve"> </w:t>
      </w:r>
      <w:r>
        <w:t xml:space="preserve">number of HTTP GET requests</w:t>
      </w:r>
      <w:r>
        <w:t xml:space="preserve"> </w:t>
      </w:r>
      <m:oMath>
        <m:sSub>
          <m:e>
            <m:r>
              <m:t>C</m:t>
            </m:r>
          </m:e>
          <m:sub>
            <m:r>
              <m:t>S</m:t>
            </m:r>
          </m:sub>
        </m:sSub>
        <m:d>
          <m:dPr>
            <m:begChr m:val="("/>
            <m:sepChr m:val=""/>
            <m:endChr m:val=")"/>
            <m:grow/>
          </m:dPr>
          <m:e>
            <m:r>
              <m:t>s</m:t>
            </m:r>
          </m:e>
        </m:d>
      </m:oMath>
      <w:r>
        <w:t xml:space="preserve">, the pruning ratio</w:t>
      </w:r>
      <w:r>
        <w:t xml:space="preserve"> </w:t>
      </w:r>
      <m:oMath>
        <m:r>
          <m:t>ρ</m:t>
        </m:r>
      </m:oMath>
      <w:r>
        <w:t xml:space="preserve"> </w:t>
      </w:r>
      <w:r>
        <w:t xml:space="preserve">of Eq. (5.5),</w:t>
      </w:r>
      <w:r>
        <w:t xml:space="preserve"> </w:t>
      </w:r>
      <w:r>
        <w:t xml:space="preserve">the request rounds</w:t>
      </w:r>
      <w:r>
        <w:t xml:space="preserve"> </w:t>
      </w:r>
      <m:oMath>
        <m:r>
          <m:t>R</m:t>
        </m:r>
        <m:d>
          <m:dPr>
            <m:begChr m:val="("/>
            <m:sepChr m:val=""/>
            <m:endChr m:val=")"/>
            <m:grow/>
          </m:dPr>
          <m:e>
            <m:r>
              <m:t>c</m:t>
            </m:r>
          </m:e>
        </m:d>
      </m:oMath>
      <w:r>
        <w:t xml:space="preserve"> </w:t>
      </w:r>
      <w:r>
        <w:t xml:space="preserve">of Eq. (5.6), and the number of requests until</w:t>
      </w:r>
      <w:r>
        <w:t xml:space="preserve"> </w:t>
      </w:r>
      <w:r>
        <w:t xml:space="preserve">the first answer of a single-category query. All strategies have precision 1 on</w:t>
      </w:r>
      <w:r>
        <w:t xml:space="preserve"> </w:t>
      </w:r>
      <w:r>
        <w:t xml:space="preserve">all services, because every strategy evaluates the same query predicates on the</w:t>
      </w:r>
      <w:r>
        <w:t xml:space="preserve"> </w:t>
      </w:r>
      <w:r>
        <w:t xml:space="preserve">bodies it fetches, so precision is not discussed further.</w:t>
      </w:r>
    </w:p>
    <w:p>
      <w:pPr>
        <w:pStyle w:val="TableCaption"/>
      </w:pPr>
      <w:r>
        <w:t xml:space="preserve">Table 7.1: The 26 services with protocol</w:t>
      </w:r>
      <w:r>
        <w:t xml:space="preserve"> </w:t>
      </w:r>
      <w:r>
        <w:t xml:space="preserve">version, number of resources</w:t>
      </w:r>
      <w:r>
        <w:t xml:space="preserve"> </w:t>
      </w:r>
      <m:oMath>
        <m:d>
          <m:dPr>
            <m:begChr m:val="|"/>
            <m:sepChr m:val=""/>
            <m:endChr m:val="|"/>
            <m:grow/>
          </m:dPr>
          <m:e>
            <m:r>
              <m:t>V</m:t>
            </m:r>
          </m:e>
        </m:d>
      </m:oMath>
      <w:r>
        <w:t xml:space="preserve">, tree height</w:t>
      </w:r>
      <w:r>
        <w:t xml:space="preserve"> </w:t>
      </w:r>
      <m:oMath>
        <m:r>
          <m:t>D</m:t>
        </m:r>
      </m:oMath>
      <w:r>
        <w:t xml:space="preserve"> </w:t>
      </w:r>
      <w:r>
        <w:t xml:space="preserve">and number of monitored</w:t>
      </w:r>
      <w:r>
        <w:t xml:space="preserve"> </w:t>
      </w:r>
      <w:r>
        <w:t xml:space="preserve">components</w:t>
      </w:r>
      <w:r>
        <w:t xml:space="preserve"> </w:t>
      </w:r>
      <m:oMath>
        <m:d>
          <m:dPr>
            <m:begChr m:val="|"/>
            <m:sepChr m:val=""/>
            <m:endChr m:val="|"/>
            <m:grow/>
          </m:dPr>
          <m:e>
            <m:r>
              <m:rPr>
                <m:scr m:val="script"/>
                <m:sty m:val="p"/>
              </m:rPr>
              <m:t>G</m:t>
            </m:r>
          </m:e>
        </m:d>
      </m:oMath>
      <w:r>
        <w:t xml:space="preserve">; recall of the static strategies and SP-BFS; and</w:t>
      </w:r>
      <w:r>
        <w:t xml:space="preserve"> </w:t>
      </w:r>
      <w:r>
        <w:t xml:space="preserve">GET requests for a complete discovery. Tree-BFS has the same recall as SP-BFS</w:t>
      </w:r>
      <w:r>
        <w:t xml:space="preserve"> </w:t>
      </w:r>
      <w:r>
        <w:t xml:space="preserve">on every service. (R = recall, GET = HTTP GET requests; tree = Tree-BFS, SP = SP-BFS.)</w:t>
      </w:r>
    </w:p>
    <w:tbl>
      <w:tblPr>
        <w:tblStyle w:val="Table"/>
        <w:tblW w:type="dxa" w:w="8618"/>
        <w:jc w:val="center"/>
        <w:tblLook w:firstRow="1" w:lastRow="0" w:firstColumn="0" w:lastColumn="0" w:noHBand="0" w:noVBand="0" w:val="0020"/>
        <w:tblCaption w:val="Table 7.1: The 26 services with protocol version, number of resources |V|, tree height D and number of monitored components |\mathcal{G}|; recall of the static strategies and SP-BFS; and GET requests for a complete discovery. Tree-BFS has the same recall as SP-BFS on every service. (R = recall, GET = HTTP GET requests; tree = Tree-BFS, SP = SP-BFS.)"/>
      </w:tblPr>
      <w:tblGrid>
        <w:gridCol w:w="1300"/>
        <w:gridCol w:w="899"/>
        <w:gridCol w:w="567"/>
        <w:gridCol w:w="400"/>
        <w:gridCol w:w="567"/>
        <w:gridCol w:w="816"/>
        <w:gridCol w:w="816"/>
        <w:gridCol w:w="733"/>
        <w:gridCol w:w="567"/>
        <w:gridCol w:w="650"/>
        <w:gridCol w:w="733"/>
        <w:gridCol w:w="570"/>
      </w:tblGrid>
      <w:tr>
        <w:trPr>
          <w:tblHeader w:val="true"/>
        </w:trPr>
        <w:tc>
          <w:tcPr>
            <w:tcW w:type="dxa" w:w="1300"/>
          </w:tcPr>
          <w:p>
            <w:pPr>
              <w:pStyle w:val="TableSmall"/>
              <w:jc w:val="left"/>
            </w:pPr>
            <w:r>
              <w:t xml:space="preserve">Service</w:t>
            </w:r>
          </w:p>
        </w:tc>
        <w:tc>
          <w:tcPr>
            <w:tcW w:type="dxa" w:w="899"/>
          </w:tcPr>
          <w:p>
            <w:pPr>
              <w:pStyle w:val="TableSmall"/>
              <w:jc w:val="left"/>
            </w:pPr>
            <w:r>
              <w:t xml:space="preserve">Redfish</w:t>
            </w:r>
          </w:p>
        </w:tc>
        <w:tc>
          <w:tcPr>
            <w:tcW w:type="dxa" w:w="567"/>
          </w:tcPr>
          <w:p>
            <w:pPr>
              <w:pStyle w:val="TableSmall"/>
              <w:jc w:val="left"/>
            </w:pPr>
            <m:oMath>
              <m:d>
                <m:dPr>
                  <m:begChr m:val="|"/>
                  <m:sepChr m:val=""/>
                  <m:endChr m:val="|"/>
                  <m:grow/>
                </m:dPr>
                <m:e>
                  <m:r>
                    <m:t>V</m:t>
                  </m:r>
                </m:e>
              </m:d>
            </m:oMath>
          </w:p>
        </w:tc>
        <w:tc>
          <w:tcPr>
            <w:tcW w:type="dxa" w:w="400"/>
          </w:tcPr>
          <w:p>
            <w:pPr>
              <w:pStyle w:val="TableSmall"/>
              <w:jc w:val="left"/>
            </w:pPr>
            <m:oMath>
              <m:r>
                <m:t>D</m:t>
              </m:r>
            </m:oMath>
          </w:p>
        </w:tc>
        <w:tc>
          <w:tcPr>
            <w:tcW w:type="dxa" w:w="567"/>
          </w:tcPr>
          <w:p>
            <w:pPr>
              <w:pStyle w:val="TableSmall"/>
              <w:jc w:val="left"/>
            </w:pPr>
            <m:oMath>
              <m:d>
                <m:dPr>
                  <m:begChr m:val="|"/>
                  <m:sepChr m:val=""/>
                  <m:endChr m:val="|"/>
                  <m:grow/>
                </m:dPr>
                <m:e>
                  <m:r>
                    <m:rPr>
                      <m:scr m:val="script"/>
                      <m:sty m:val="p"/>
                    </m:rPr>
                    <m:t>G</m:t>
                  </m:r>
                </m:e>
              </m:d>
            </m:oMath>
          </w:p>
        </w:tc>
        <w:tc>
          <w:tcPr>
            <w:tcW w:type="dxa" w:w="816"/>
          </w:tcPr>
          <w:p>
            <w:pPr>
              <w:pStyle w:val="TableSmall"/>
              <w:jc w:val="left"/>
            </w:pPr>
            <w:r>
              <w:t xml:space="preserve">R legacy</w:t>
            </w:r>
          </w:p>
        </w:tc>
        <w:tc>
          <w:tcPr>
            <w:tcW w:type="dxa" w:w="816"/>
          </w:tcPr>
          <w:p>
            <w:pPr>
              <w:pStyle w:val="TableSmall"/>
              <w:jc w:val="left"/>
            </w:pPr>
            <w:r>
              <w:t xml:space="preserve">R modern</w:t>
            </w:r>
          </w:p>
        </w:tc>
        <w:tc>
          <w:tcPr>
            <w:tcW w:type="dxa" w:w="733"/>
          </w:tcPr>
          <w:p>
            <w:pPr>
              <w:pStyle w:val="TableSmall"/>
              <w:jc w:val="left"/>
            </w:pPr>
            <w:r>
              <w:t xml:space="preserve">R union</w:t>
            </w:r>
          </w:p>
        </w:tc>
        <w:tc>
          <w:tcPr>
            <w:tcW w:type="dxa" w:w="567"/>
          </w:tcPr>
          <w:p>
            <w:pPr>
              <w:pStyle w:val="TableSmall"/>
              <w:jc w:val="left"/>
            </w:pPr>
            <w:r>
              <w:t xml:space="preserve">R SP</w:t>
            </w:r>
          </w:p>
        </w:tc>
        <w:tc>
          <w:tcPr>
            <w:tcW w:type="dxa" w:w="650"/>
          </w:tcPr>
          <w:p>
            <w:pPr>
              <w:pStyle w:val="TableSmall"/>
              <w:jc w:val="left"/>
            </w:pPr>
            <w:r>
              <w:t xml:space="preserve">GET tree</w:t>
            </w:r>
          </w:p>
        </w:tc>
        <w:tc>
          <w:tcPr>
            <w:tcW w:type="dxa" w:w="733"/>
          </w:tcPr>
          <w:p>
            <w:pPr>
              <w:pStyle w:val="TableSmall"/>
              <w:jc w:val="left"/>
            </w:pPr>
            <w:r>
              <w:t xml:space="preserve">GET union</w:t>
            </w:r>
          </w:p>
        </w:tc>
        <w:tc>
          <w:tcPr>
            <w:tcW w:type="dxa" w:w="570"/>
          </w:tcPr>
          <w:p>
            <w:pPr>
              <w:pStyle w:val="TableSmall"/>
              <w:jc w:val="left"/>
            </w:pPr>
            <w:r>
              <w:t xml:space="preserve">GET SP</w:t>
            </w:r>
          </w:p>
        </w:tc>
      </w:tr>
      <w:tr>
        <w:tc>
          <w:tcPr>
            <w:tcW w:type="dxa" w:w="1300"/>
          </w:tcPr>
          <w:p>
            <w:pPr>
              <w:pStyle w:val="TableSmall"/>
              <w:jc w:val="left"/>
            </w:pPr>
            <w:r>
              <w:t xml:space="preserve">DMTF rackmount1</w:t>
            </w:r>
          </w:p>
        </w:tc>
        <w:tc>
          <w:tcPr>
            <w:tcW w:type="dxa" w:w="899"/>
          </w:tcPr>
          <w:p>
            <w:pPr>
              <w:pStyle w:val="TableSmall"/>
              <w:jc w:val="left"/>
            </w:pPr>
            <w:r>
              <w:t xml:space="preserve">1.15.0</w:t>
            </w:r>
          </w:p>
        </w:tc>
        <w:tc>
          <w:tcPr>
            <w:tcW w:type="dxa" w:w="567"/>
          </w:tcPr>
          <w:p>
            <w:pPr>
              <w:pStyle w:val="TableSmall"/>
              <w:jc w:val="left"/>
            </w:pPr>
            <w:r>
              <w:t xml:space="preserve">255</w:t>
            </w:r>
          </w:p>
        </w:tc>
        <w:tc>
          <w:tcPr>
            <w:tcW w:type="dxa" w:w="400"/>
          </w:tcPr>
          <w:p>
            <w:pPr>
              <w:pStyle w:val="TableSmall"/>
              <w:jc w:val="left"/>
            </w:pPr>
            <w:r>
              <w:t xml:space="preserve">7</w:t>
            </w:r>
          </w:p>
        </w:tc>
        <w:tc>
          <w:tcPr>
            <w:tcW w:type="dxa" w:w="567"/>
          </w:tcPr>
          <w:p>
            <w:pPr>
              <w:pStyle w:val="TableSmall"/>
              <w:jc w:val="left"/>
            </w:pPr>
            <w:r>
              <w:t xml:space="preserve">28</w:t>
            </w:r>
          </w:p>
        </w:tc>
        <w:tc>
          <w:tcPr>
            <w:tcW w:type="dxa" w:w="816"/>
          </w:tcPr>
          <w:p>
            <w:pPr>
              <w:pStyle w:val="TableSmall"/>
              <w:jc w:val="left"/>
            </w:pPr>
            <w:r>
              <w:t xml:space="preserve">0.75</w:t>
            </w:r>
          </w:p>
        </w:tc>
        <w:tc>
          <w:tcPr>
            <w:tcW w:type="dxa" w:w="816"/>
          </w:tcPr>
          <w:p>
            <w:pPr>
              <w:pStyle w:val="TableSmall"/>
              <w:jc w:val="left"/>
            </w:pPr>
            <w:r>
              <w:t xml:space="preserve">0.64</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229</w:t>
            </w:r>
          </w:p>
        </w:tc>
        <w:tc>
          <w:tcPr>
            <w:tcW w:type="dxa" w:w="733"/>
          </w:tcPr>
          <w:p>
            <w:pPr>
              <w:pStyle w:val="TableSmall"/>
              <w:jc w:val="left"/>
            </w:pPr>
            <w:r>
              <w:t xml:space="preserve">75</w:t>
            </w:r>
          </w:p>
        </w:tc>
        <w:tc>
          <w:tcPr>
            <w:tcW w:type="dxa" w:w="570"/>
          </w:tcPr>
          <w:p>
            <w:pPr>
              <w:pStyle w:val="TableSmall"/>
              <w:jc w:val="left"/>
            </w:pPr>
            <w:r>
              <w:t xml:space="preserve">91</w:t>
            </w:r>
          </w:p>
        </w:tc>
      </w:tr>
      <w:tr>
        <w:tc>
          <w:tcPr>
            <w:tcW w:type="dxa" w:w="1300"/>
          </w:tcPr>
          <w:p>
            <w:pPr>
              <w:pStyle w:val="TableSmall"/>
              <w:jc w:val="left"/>
            </w:pPr>
            <w:r>
              <w:t xml:space="preserve">DMTF tower</w:t>
            </w:r>
          </w:p>
        </w:tc>
        <w:tc>
          <w:tcPr>
            <w:tcW w:type="dxa" w:w="899"/>
          </w:tcPr>
          <w:p>
            <w:pPr>
              <w:pStyle w:val="TableSmall"/>
              <w:jc w:val="left"/>
            </w:pPr>
            <w:r>
              <w:t xml:space="preserve">1.15.0</w:t>
            </w:r>
          </w:p>
        </w:tc>
        <w:tc>
          <w:tcPr>
            <w:tcW w:type="dxa" w:w="567"/>
          </w:tcPr>
          <w:p>
            <w:pPr>
              <w:pStyle w:val="TableSmall"/>
              <w:jc w:val="left"/>
            </w:pPr>
            <w:r>
              <w:t xml:space="preserve">544</w:t>
            </w:r>
          </w:p>
        </w:tc>
        <w:tc>
          <w:tcPr>
            <w:tcW w:type="dxa" w:w="400"/>
          </w:tcPr>
          <w:p>
            <w:pPr>
              <w:pStyle w:val="TableSmall"/>
              <w:jc w:val="left"/>
            </w:pPr>
            <w:r>
              <w:t xml:space="preserve">7</w:t>
            </w:r>
          </w:p>
        </w:tc>
        <w:tc>
          <w:tcPr>
            <w:tcW w:type="dxa" w:w="567"/>
          </w:tcPr>
          <w:p>
            <w:pPr>
              <w:pStyle w:val="TableSmall"/>
              <w:jc w:val="left"/>
            </w:pPr>
            <w:r>
              <w:t xml:space="preserve">60</w:t>
            </w:r>
          </w:p>
        </w:tc>
        <w:tc>
          <w:tcPr>
            <w:tcW w:type="dxa" w:w="816"/>
          </w:tcPr>
          <w:p>
            <w:pPr>
              <w:pStyle w:val="TableSmall"/>
              <w:jc w:val="left"/>
            </w:pPr>
            <w:r>
              <w:t xml:space="preserve">0.58</w:t>
            </w:r>
          </w:p>
        </w:tc>
        <w:tc>
          <w:tcPr>
            <w:tcW w:type="dxa" w:w="816"/>
          </w:tcPr>
          <w:p>
            <w:pPr>
              <w:pStyle w:val="TableSmall"/>
              <w:jc w:val="left"/>
            </w:pPr>
            <w:r>
              <w:t xml:space="preserve">0.88</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529</w:t>
            </w:r>
          </w:p>
        </w:tc>
        <w:tc>
          <w:tcPr>
            <w:tcW w:type="dxa" w:w="733"/>
          </w:tcPr>
          <w:p>
            <w:pPr>
              <w:pStyle w:val="TableSmall"/>
              <w:jc w:val="left"/>
            </w:pPr>
            <w:r>
              <w:t xml:space="preserve">126</w:t>
            </w:r>
          </w:p>
        </w:tc>
        <w:tc>
          <w:tcPr>
            <w:tcW w:type="dxa" w:w="570"/>
          </w:tcPr>
          <w:p>
            <w:pPr>
              <w:pStyle w:val="TableSmall"/>
              <w:jc w:val="left"/>
            </w:pPr>
            <w:r>
              <w:t xml:space="preserve">426</w:t>
            </w:r>
          </w:p>
        </w:tc>
      </w:tr>
      <w:tr>
        <w:tc>
          <w:tcPr>
            <w:tcW w:type="dxa" w:w="1300"/>
          </w:tcPr>
          <w:p>
            <w:pPr>
              <w:pStyle w:val="TableSmall"/>
              <w:jc w:val="left"/>
            </w:pPr>
            <w:r>
              <w:t xml:space="preserve">DMTF bladed</w:t>
            </w:r>
          </w:p>
        </w:tc>
        <w:tc>
          <w:tcPr>
            <w:tcW w:type="dxa" w:w="899"/>
          </w:tcPr>
          <w:p>
            <w:pPr>
              <w:pStyle w:val="TableSmall"/>
              <w:jc w:val="left"/>
            </w:pPr>
            <w:r>
              <w:t xml:space="preserve">1.15.0</w:t>
            </w:r>
          </w:p>
        </w:tc>
        <w:tc>
          <w:tcPr>
            <w:tcW w:type="dxa" w:w="567"/>
          </w:tcPr>
          <w:p>
            <w:pPr>
              <w:pStyle w:val="TableSmall"/>
              <w:jc w:val="left"/>
            </w:pPr>
            <w:r>
              <w:t xml:space="preserve">82</w:t>
            </w:r>
          </w:p>
        </w:tc>
        <w:tc>
          <w:tcPr>
            <w:tcW w:type="dxa" w:w="400"/>
          </w:tcPr>
          <w:p>
            <w:pPr>
              <w:pStyle w:val="TableSmall"/>
              <w:jc w:val="left"/>
            </w:pPr>
            <w:r>
              <w:t xml:space="preserve">6</w:t>
            </w:r>
          </w:p>
        </w:tc>
        <w:tc>
          <w:tcPr>
            <w:tcW w:type="dxa" w:w="567"/>
          </w:tcPr>
          <w:p>
            <w:pPr>
              <w:pStyle w:val="TableSmall"/>
              <w:jc w:val="left"/>
            </w:pPr>
            <w:r>
              <w:t xml:space="preserve">27</w:t>
            </w:r>
          </w:p>
        </w:tc>
        <w:tc>
          <w:tcPr>
            <w:tcW w:type="dxa" w:w="816"/>
          </w:tcPr>
          <w:p>
            <w:pPr>
              <w:pStyle w:val="TableSmall"/>
              <w:jc w:val="left"/>
            </w:pPr>
            <w:r>
              <w:t xml:space="preserve">1.00</w:t>
            </w:r>
          </w:p>
        </w:tc>
        <w:tc>
          <w:tcPr>
            <w:tcW w:type="dxa" w:w="816"/>
          </w:tcPr>
          <w:p>
            <w:pPr>
              <w:pStyle w:val="TableSmall"/>
              <w:jc w:val="left"/>
            </w:pPr>
            <w:r>
              <w:t xml:space="preserve">0.15</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50</w:t>
            </w:r>
          </w:p>
        </w:tc>
        <w:tc>
          <w:tcPr>
            <w:tcW w:type="dxa" w:w="733"/>
          </w:tcPr>
          <w:p>
            <w:pPr>
              <w:pStyle w:val="TableSmall"/>
              <w:jc w:val="left"/>
            </w:pPr>
            <w:r>
              <w:t xml:space="preserve">34</w:t>
            </w:r>
          </w:p>
        </w:tc>
        <w:tc>
          <w:tcPr>
            <w:tcW w:type="dxa" w:w="570"/>
          </w:tcPr>
          <w:p>
            <w:pPr>
              <w:pStyle w:val="TableSmall"/>
              <w:jc w:val="left"/>
            </w:pPr>
            <w:r>
              <w:t xml:space="preserve">34</w:t>
            </w:r>
          </w:p>
        </w:tc>
      </w:tr>
      <w:tr>
        <w:tc>
          <w:tcPr>
            <w:tcW w:type="dxa" w:w="1300"/>
          </w:tcPr>
          <w:p>
            <w:pPr>
              <w:pStyle w:val="TableSmall"/>
              <w:jc w:val="left"/>
            </w:pPr>
            <w:r>
              <w:t xml:space="preserve">DMTF localstorage</w:t>
            </w:r>
          </w:p>
        </w:tc>
        <w:tc>
          <w:tcPr>
            <w:tcW w:type="dxa" w:w="899"/>
          </w:tcPr>
          <w:p>
            <w:pPr>
              <w:pStyle w:val="TableSmall"/>
              <w:jc w:val="left"/>
            </w:pPr>
            <w:r>
              <w:t xml:space="preserve">1.15.0</w:t>
            </w:r>
          </w:p>
        </w:tc>
        <w:tc>
          <w:tcPr>
            <w:tcW w:type="dxa" w:w="567"/>
          </w:tcPr>
          <w:p>
            <w:pPr>
              <w:pStyle w:val="TableSmall"/>
              <w:jc w:val="left"/>
            </w:pPr>
            <w:r>
              <w:t xml:space="preserve">68</w:t>
            </w:r>
          </w:p>
        </w:tc>
        <w:tc>
          <w:tcPr>
            <w:tcW w:type="dxa" w:w="400"/>
          </w:tcPr>
          <w:p>
            <w:pPr>
              <w:pStyle w:val="TableSmall"/>
              <w:jc w:val="left"/>
            </w:pPr>
            <w:r>
              <w:t xml:space="preserve">6</w:t>
            </w:r>
          </w:p>
        </w:tc>
        <w:tc>
          <w:tcPr>
            <w:tcW w:type="dxa" w:w="567"/>
          </w:tcPr>
          <w:p>
            <w:pPr>
              <w:pStyle w:val="TableSmall"/>
              <w:jc w:val="left"/>
            </w:pPr>
            <w:r>
              <w:t xml:space="preserve">18</w:t>
            </w:r>
          </w:p>
        </w:tc>
        <w:tc>
          <w:tcPr>
            <w:tcW w:type="dxa" w:w="816"/>
          </w:tcPr>
          <w:p>
            <w:pPr>
              <w:pStyle w:val="TableSmall"/>
              <w:jc w:val="left"/>
            </w:pPr>
            <w:r>
              <w:t xml:space="preserve">0.78</w:t>
            </w:r>
          </w:p>
        </w:tc>
        <w:tc>
          <w:tcPr>
            <w:tcW w:type="dxa" w:w="816"/>
          </w:tcPr>
          <w:p>
            <w:pPr>
              <w:pStyle w:val="TableSmall"/>
              <w:jc w:val="left"/>
            </w:pPr>
            <w:r>
              <w:t xml:space="preserve">0.67</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55</w:t>
            </w:r>
          </w:p>
        </w:tc>
        <w:tc>
          <w:tcPr>
            <w:tcW w:type="dxa" w:w="733"/>
          </w:tcPr>
          <w:p>
            <w:pPr>
              <w:pStyle w:val="TableSmall"/>
              <w:jc w:val="left"/>
            </w:pPr>
            <w:r>
              <w:t xml:space="preserve">24</w:t>
            </w:r>
          </w:p>
        </w:tc>
        <w:tc>
          <w:tcPr>
            <w:tcW w:type="dxa" w:w="570"/>
          </w:tcPr>
          <w:p>
            <w:pPr>
              <w:pStyle w:val="TableSmall"/>
              <w:jc w:val="left"/>
            </w:pPr>
            <w:r>
              <w:t xml:space="preserve">25</w:t>
            </w:r>
          </w:p>
        </w:tc>
      </w:tr>
      <w:tr>
        <w:tc>
          <w:tcPr>
            <w:tcW w:type="dxa" w:w="1300"/>
          </w:tcPr>
          <w:p>
            <w:pPr>
              <w:pStyle w:val="TableSmall"/>
              <w:jc w:val="left"/>
            </w:pPr>
            <w:r>
              <w:t xml:space="preserve">DMTF smartnic</w:t>
            </w:r>
          </w:p>
        </w:tc>
        <w:tc>
          <w:tcPr>
            <w:tcW w:type="dxa" w:w="899"/>
          </w:tcPr>
          <w:p>
            <w:pPr>
              <w:pStyle w:val="TableSmall"/>
              <w:jc w:val="left"/>
            </w:pPr>
            <w:r>
              <w:t xml:space="preserve">1.15.0</w:t>
            </w:r>
          </w:p>
        </w:tc>
        <w:tc>
          <w:tcPr>
            <w:tcW w:type="dxa" w:w="567"/>
          </w:tcPr>
          <w:p>
            <w:pPr>
              <w:pStyle w:val="TableSmall"/>
              <w:jc w:val="left"/>
            </w:pPr>
            <w:r>
              <w:t xml:space="preserve">144</w:t>
            </w:r>
          </w:p>
        </w:tc>
        <w:tc>
          <w:tcPr>
            <w:tcW w:type="dxa" w:w="400"/>
          </w:tcPr>
          <w:p>
            <w:pPr>
              <w:pStyle w:val="TableSmall"/>
              <w:jc w:val="left"/>
            </w:pPr>
            <w:r>
              <w:t xml:space="preserve">8</w:t>
            </w:r>
          </w:p>
        </w:tc>
        <w:tc>
          <w:tcPr>
            <w:tcW w:type="dxa" w:w="567"/>
          </w:tcPr>
          <w:p>
            <w:pPr>
              <w:pStyle w:val="TableSmall"/>
              <w:jc w:val="left"/>
            </w:pPr>
            <w:r>
              <w:t xml:space="preserve">24</w:t>
            </w:r>
          </w:p>
        </w:tc>
        <w:tc>
          <w:tcPr>
            <w:tcW w:type="dxa" w:w="816"/>
          </w:tcPr>
          <w:p>
            <w:pPr>
              <w:pStyle w:val="TableSmall"/>
              <w:jc w:val="left"/>
            </w:pPr>
            <w:r>
              <w:t xml:space="preserve">0.54</w:t>
            </w:r>
          </w:p>
        </w:tc>
        <w:tc>
          <w:tcPr>
            <w:tcW w:type="dxa" w:w="816"/>
          </w:tcPr>
          <w:p>
            <w:pPr>
              <w:pStyle w:val="TableSmall"/>
              <w:jc w:val="left"/>
            </w:pPr>
            <w:r>
              <w:t xml:space="preserve">0.75</w:t>
            </w:r>
          </w:p>
        </w:tc>
        <w:tc>
          <w:tcPr>
            <w:tcW w:type="dxa" w:w="733"/>
          </w:tcPr>
          <w:p>
            <w:pPr>
              <w:pStyle w:val="TableSmall"/>
              <w:jc w:val="left"/>
            </w:pPr>
            <w:r>
              <w:t xml:space="preserve">0.92</w:t>
            </w:r>
          </w:p>
        </w:tc>
        <w:tc>
          <w:tcPr>
            <w:tcW w:type="dxa" w:w="567"/>
          </w:tcPr>
          <w:p>
            <w:pPr>
              <w:pStyle w:val="TableSmall"/>
              <w:jc w:val="left"/>
            </w:pPr>
            <w:r>
              <w:t xml:space="preserve">0.92</w:t>
            </w:r>
          </w:p>
        </w:tc>
        <w:tc>
          <w:tcPr>
            <w:tcW w:type="dxa" w:w="650"/>
          </w:tcPr>
          <w:p>
            <w:pPr>
              <w:pStyle w:val="TableSmall"/>
              <w:jc w:val="left"/>
            </w:pPr>
            <w:r>
              <w:t xml:space="preserve">131</w:t>
            </w:r>
          </w:p>
        </w:tc>
        <w:tc>
          <w:tcPr>
            <w:tcW w:type="dxa" w:w="733"/>
          </w:tcPr>
          <w:p>
            <w:pPr>
              <w:pStyle w:val="TableSmall"/>
              <w:jc w:val="left"/>
            </w:pPr>
            <w:r>
              <w:t xml:space="preserve">80</w:t>
            </w:r>
          </w:p>
        </w:tc>
        <w:tc>
          <w:tcPr>
            <w:tcW w:type="dxa" w:w="570"/>
          </w:tcPr>
          <w:p>
            <w:pPr>
              <w:pStyle w:val="TableSmall"/>
              <w:jc w:val="left"/>
            </w:pPr>
            <w:r>
              <w:t xml:space="preserve">98</w:t>
            </w:r>
          </w:p>
        </w:tc>
      </w:tr>
      <w:tr>
        <w:tc>
          <w:tcPr>
            <w:tcW w:type="dxa" w:w="1300"/>
          </w:tcPr>
          <w:p>
            <w:pPr>
              <w:pStyle w:val="TableSmall"/>
              <w:jc w:val="left"/>
            </w:pPr>
            <w:r>
              <w:t xml:space="preserve">DMTF liquid-cooled</w:t>
            </w:r>
          </w:p>
        </w:tc>
        <w:tc>
          <w:tcPr>
            <w:tcW w:type="dxa" w:w="899"/>
          </w:tcPr>
          <w:p>
            <w:pPr>
              <w:pStyle w:val="TableSmall"/>
              <w:jc w:val="left"/>
            </w:pPr>
            <w:r>
              <w:t xml:space="preserve">1.15.0</w:t>
            </w:r>
          </w:p>
        </w:tc>
        <w:tc>
          <w:tcPr>
            <w:tcW w:type="dxa" w:w="567"/>
          </w:tcPr>
          <w:p>
            <w:pPr>
              <w:pStyle w:val="TableSmall"/>
              <w:jc w:val="left"/>
            </w:pPr>
            <w:r>
              <w:t xml:space="preserve">235</w:t>
            </w:r>
          </w:p>
        </w:tc>
        <w:tc>
          <w:tcPr>
            <w:tcW w:type="dxa" w:w="400"/>
          </w:tcPr>
          <w:p>
            <w:pPr>
              <w:pStyle w:val="TableSmall"/>
              <w:jc w:val="left"/>
            </w:pPr>
            <w:r>
              <w:t xml:space="preserve">7</w:t>
            </w:r>
          </w:p>
        </w:tc>
        <w:tc>
          <w:tcPr>
            <w:tcW w:type="dxa" w:w="567"/>
          </w:tcPr>
          <w:p>
            <w:pPr>
              <w:pStyle w:val="TableSmall"/>
              <w:jc w:val="left"/>
            </w:pPr>
            <w:r>
              <w:t xml:space="preserve">20</w:t>
            </w:r>
          </w:p>
        </w:tc>
        <w:tc>
          <w:tcPr>
            <w:tcW w:type="dxa" w:w="816"/>
          </w:tcPr>
          <w:p>
            <w:pPr>
              <w:pStyle w:val="TableSmall"/>
              <w:jc w:val="left"/>
            </w:pPr>
            <w:r>
              <w:t xml:space="preserve">0.75</w:t>
            </w:r>
          </w:p>
        </w:tc>
        <w:tc>
          <w:tcPr>
            <w:tcW w:type="dxa" w:w="816"/>
          </w:tcPr>
          <w:p>
            <w:pPr>
              <w:pStyle w:val="TableSmall"/>
              <w:jc w:val="left"/>
            </w:pPr>
            <w:r>
              <w:t xml:space="preserve">0.80</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209</w:t>
            </w:r>
          </w:p>
        </w:tc>
        <w:tc>
          <w:tcPr>
            <w:tcW w:type="dxa" w:w="733"/>
          </w:tcPr>
          <w:p>
            <w:pPr>
              <w:pStyle w:val="TableSmall"/>
              <w:jc w:val="left"/>
            </w:pPr>
            <w:r>
              <w:t xml:space="preserve">71</w:t>
            </w:r>
          </w:p>
        </w:tc>
        <w:tc>
          <w:tcPr>
            <w:tcW w:type="dxa" w:w="570"/>
          </w:tcPr>
          <w:p>
            <w:pPr>
              <w:pStyle w:val="TableSmall"/>
              <w:jc w:val="left"/>
            </w:pPr>
            <w:r>
              <w:t xml:space="preserve">87</w:t>
            </w:r>
          </w:p>
        </w:tc>
      </w:tr>
      <w:tr>
        <w:tc>
          <w:tcPr>
            <w:tcW w:type="dxa" w:w="1300"/>
          </w:tcPr>
          <w:p>
            <w:pPr>
              <w:pStyle w:val="TableSmall"/>
              <w:jc w:val="left"/>
            </w:pPr>
            <w:r>
              <w:t xml:space="preserve">Dell R720</w:t>
            </w:r>
          </w:p>
        </w:tc>
        <w:tc>
          <w:tcPr>
            <w:tcW w:type="dxa" w:w="899"/>
          </w:tcPr>
          <w:p>
            <w:pPr>
              <w:pStyle w:val="TableSmall"/>
              <w:jc w:val="left"/>
            </w:pPr>
            <w:r>
              <w:t xml:space="preserve">1.0.2</w:t>
            </w:r>
          </w:p>
        </w:tc>
        <w:tc>
          <w:tcPr>
            <w:tcW w:type="dxa" w:w="567"/>
          </w:tcPr>
          <w:p>
            <w:pPr>
              <w:pStyle w:val="TableSmall"/>
              <w:jc w:val="left"/>
            </w:pPr>
            <w:r>
              <w:t xml:space="preserve">331</w:t>
            </w:r>
          </w:p>
        </w:tc>
        <w:tc>
          <w:tcPr>
            <w:tcW w:type="dxa" w:w="400"/>
          </w:tcPr>
          <w:p>
            <w:pPr>
              <w:pStyle w:val="TableSmall"/>
              <w:jc w:val="left"/>
            </w:pPr>
            <w:r>
              <w:t xml:space="preserve">6</w:t>
            </w:r>
          </w:p>
        </w:tc>
        <w:tc>
          <w:tcPr>
            <w:tcW w:type="dxa" w:w="567"/>
          </w:tcPr>
          <w:p>
            <w:pPr>
              <w:pStyle w:val="TableSmall"/>
              <w:jc w:val="left"/>
            </w:pPr>
            <w:r>
              <w:t xml:space="preserve">23</w:t>
            </w:r>
          </w:p>
        </w:tc>
        <w:tc>
          <w:tcPr>
            <w:tcW w:type="dxa" w:w="816"/>
          </w:tcPr>
          <w:p>
            <w:pPr>
              <w:pStyle w:val="TableSmall"/>
              <w:jc w:val="left"/>
            </w:pPr>
            <w:r>
              <w:t xml:space="preserve">1.00</w:t>
            </w:r>
          </w:p>
        </w:tc>
        <w:tc>
          <w:tcPr>
            <w:tcW w:type="dxa" w:w="816"/>
          </w:tcPr>
          <w:p>
            <w:pPr>
              <w:pStyle w:val="TableSmall"/>
              <w:jc w:val="left"/>
            </w:pPr>
            <w:r>
              <w:t xml:space="preserve">0.48</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241</w:t>
            </w:r>
          </w:p>
        </w:tc>
        <w:tc>
          <w:tcPr>
            <w:tcW w:type="dxa" w:w="733"/>
          </w:tcPr>
          <w:p>
            <w:pPr>
              <w:pStyle w:val="TableSmall"/>
              <w:jc w:val="left"/>
            </w:pPr>
            <w:r>
              <w:t xml:space="preserve">22</w:t>
            </w:r>
          </w:p>
        </w:tc>
        <w:tc>
          <w:tcPr>
            <w:tcW w:type="dxa" w:w="570"/>
          </w:tcPr>
          <w:p>
            <w:pPr>
              <w:pStyle w:val="TableSmall"/>
              <w:jc w:val="left"/>
            </w:pPr>
            <w:r>
              <w:t xml:space="preserve">22</w:t>
            </w:r>
          </w:p>
        </w:tc>
      </w:tr>
      <w:tr>
        <w:tc>
          <w:tcPr>
            <w:tcW w:type="dxa" w:w="1300"/>
          </w:tcPr>
          <w:p>
            <w:pPr>
              <w:pStyle w:val="TableSmall"/>
              <w:jc w:val="left"/>
            </w:pPr>
            <w:r>
              <w:t xml:space="preserve">Dell R740</w:t>
            </w:r>
          </w:p>
        </w:tc>
        <w:tc>
          <w:tcPr>
            <w:tcW w:type="dxa" w:w="899"/>
          </w:tcPr>
          <w:p>
            <w:pPr>
              <w:pStyle w:val="TableSmall"/>
              <w:jc w:val="left"/>
            </w:pPr>
            <w:r>
              <w:t xml:space="preserve">1.0.2</w:t>
            </w:r>
          </w:p>
        </w:tc>
        <w:tc>
          <w:tcPr>
            <w:tcW w:type="dxa" w:w="567"/>
          </w:tcPr>
          <w:p>
            <w:pPr>
              <w:pStyle w:val="TableSmall"/>
              <w:jc w:val="left"/>
            </w:pPr>
            <w:r>
              <w:t xml:space="preserve">365</w:t>
            </w:r>
          </w:p>
        </w:tc>
        <w:tc>
          <w:tcPr>
            <w:tcW w:type="dxa" w:w="400"/>
          </w:tcPr>
          <w:p>
            <w:pPr>
              <w:pStyle w:val="TableSmall"/>
              <w:jc w:val="left"/>
            </w:pPr>
            <w:r>
              <w:t xml:space="preserve">6</w:t>
            </w:r>
          </w:p>
        </w:tc>
        <w:tc>
          <w:tcPr>
            <w:tcW w:type="dxa" w:w="567"/>
          </w:tcPr>
          <w:p>
            <w:pPr>
              <w:pStyle w:val="TableSmall"/>
              <w:jc w:val="left"/>
            </w:pPr>
            <w:r>
              <w:t xml:space="preserve">16</w:t>
            </w:r>
          </w:p>
        </w:tc>
        <w:tc>
          <w:tcPr>
            <w:tcW w:type="dxa" w:w="816"/>
          </w:tcPr>
          <w:p>
            <w:pPr>
              <w:pStyle w:val="TableSmall"/>
              <w:jc w:val="left"/>
            </w:pPr>
            <w:r>
              <w:t xml:space="preserve">1.00</w:t>
            </w:r>
          </w:p>
        </w:tc>
        <w:tc>
          <w:tcPr>
            <w:tcW w:type="dxa" w:w="816"/>
          </w:tcPr>
          <w:p>
            <w:pPr>
              <w:pStyle w:val="TableSmall"/>
              <w:jc w:val="left"/>
            </w:pPr>
            <w:r>
              <w:t xml:space="preserve">0.31</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281</w:t>
            </w:r>
          </w:p>
        </w:tc>
        <w:tc>
          <w:tcPr>
            <w:tcW w:type="dxa" w:w="733"/>
          </w:tcPr>
          <w:p>
            <w:pPr>
              <w:pStyle w:val="TableSmall"/>
              <w:jc w:val="left"/>
            </w:pPr>
            <w:r>
              <w:t xml:space="preserve">17</w:t>
            </w:r>
          </w:p>
        </w:tc>
        <w:tc>
          <w:tcPr>
            <w:tcW w:type="dxa" w:w="570"/>
          </w:tcPr>
          <w:p>
            <w:pPr>
              <w:pStyle w:val="TableSmall"/>
              <w:jc w:val="left"/>
            </w:pPr>
            <w:r>
              <w:t xml:space="preserve">17</w:t>
            </w:r>
          </w:p>
        </w:tc>
      </w:tr>
      <w:tr>
        <w:tc>
          <w:tcPr>
            <w:tcW w:type="dxa" w:w="1300"/>
          </w:tcPr>
          <w:p>
            <w:pPr>
              <w:pStyle w:val="TableSmall"/>
              <w:jc w:val="left"/>
            </w:pPr>
            <w:r>
              <w:t xml:space="preserve">Dell T630</w:t>
            </w:r>
          </w:p>
        </w:tc>
        <w:tc>
          <w:tcPr>
            <w:tcW w:type="dxa" w:w="899"/>
          </w:tcPr>
          <w:p>
            <w:pPr>
              <w:pStyle w:val="TableSmall"/>
              <w:jc w:val="left"/>
            </w:pPr>
            <w:r>
              <w:t xml:space="preserve">1.0.2</w:t>
            </w:r>
          </w:p>
        </w:tc>
        <w:tc>
          <w:tcPr>
            <w:tcW w:type="dxa" w:w="567"/>
          </w:tcPr>
          <w:p>
            <w:pPr>
              <w:pStyle w:val="TableSmall"/>
              <w:jc w:val="left"/>
            </w:pPr>
            <w:r>
              <w:t xml:space="preserve">313</w:t>
            </w:r>
          </w:p>
        </w:tc>
        <w:tc>
          <w:tcPr>
            <w:tcW w:type="dxa" w:w="400"/>
          </w:tcPr>
          <w:p>
            <w:pPr>
              <w:pStyle w:val="TableSmall"/>
              <w:jc w:val="left"/>
            </w:pPr>
            <w:r>
              <w:t xml:space="preserve">6</w:t>
            </w:r>
          </w:p>
        </w:tc>
        <w:tc>
          <w:tcPr>
            <w:tcW w:type="dxa" w:w="567"/>
          </w:tcPr>
          <w:p>
            <w:pPr>
              <w:pStyle w:val="TableSmall"/>
              <w:jc w:val="left"/>
            </w:pPr>
            <w:r>
              <w:t xml:space="preserve">27</w:t>
            </w:r>
          </w:p>
        </w:tc>
        <w:tc>
          <w:tcPr>
            <w:tcW w:type="dxa" w:w="816"/>
          </w:tcPr>
          <w:p>
            <w:pPr>
              <w:pStyle w:val="TableSmall"/>
              <w:jc w:val="left"/>
            </w:pPr>
            <w:r>
              <w:t xml:space="preserve">1.00</w:t>
            </w:r>
          </w:p>
        </w:tc>
        <w:tc>
          <w:tcPr>
            <w:tcW w:type="dxa" w:w="816"/>
          </w:tcPr>
          <w:p>
            <w:pPr>
              <w:pStyle w:val="TableSmall"/>
              <w:jc w:val="left"/>
            </w:pPr>
            <w:r>
              <w:t xml:space="preserve">0.15</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242</w:t>
            </w:r>
          </w:p>
        </w:tc>
        <w:tc>
          <w:tcPr>
            <w:tcW w:type="dxa" w:w="733"/>
          </w:tcPr>
          <w:p>
            <w:pPr>
              <w:pStyle w:val="TableSmall"/>
              <w:jc w:val="left"/>
            </w:pPr>
            <w:r>
              <w:t xml:space="preserve">19</w:t>
            </w:r>
          </w:p>
        </w:tc>
        <w:tc>
          <w:tcPr>
            <w:tcW w:type="dxa" w:w="570"/>
          </w:tcPr>
          <w:p>
            <w:pPr>
              <w:pStyle w:val="TableSmall"/>
              <w:jc w:val="left"/>
            </w:pPr>
            <w:r>
              <w:t xml:space="preserve">19</w:t>
            </w:r>
          </w:p>
        </w:tc>
      </w:tr>
      <w:tr>
        <w:tc>
          <w:tcPr>
            <w:tcW w:type="dxa" w:w="1300"/>
          </w:tcPr>
          <w:p>
            <w:pPr>
              <w:pStyle w:val="TableSmall"/>
              <w:jc w:val="left"/>
            </w:pPr>
            <w:r>
              <w:t xml:space="preserve">Dell C6320</w:t>
            </w:r>
          </w:p>
        </w:tc>
        <w:tc>
          <w:tcPr>
            <w:tcW w:type="dxa" w:w="899"/>
          </w:tcPr>
          <w:p>
            <w:pPr>
              <w:pStyle w:val="TableSmall"/>
              <w:jc w:val="left"/>
            </w:pPr>
            <w:r>
              <w:t xml:space="preserve">1.0.2</w:t>
            </w:r>
          </w:p>
        </w:tc>
        <w:tc>
          <w:tcPr>
            <w:tcW w:type="dxa" w:w="567"/>
          </w:tcPr>
          <w:p>
            <w:pPr>
              <w:pStyle w:val="TableSmall"/>
              <w:jc w:val="left"/>
            </w:pPr>
            <w:r>
              <w:t xml:space="preserve">251</w:t>
            </w:r>
          </w:p>
        </w:tc>
        <w:tc>
          <w:tcPr>
            <w:tcW w:type="dxa" w:w="400"/>
          </w:tcPr>
          <w:p>
            <w:pPr>
              <w:pStyle w:val="TableSmall"/>
              <w:jc w:val="left"/>
            </w:pPr>
            <w:r>
              <w:t xml:space="preserve">6</w:t>
            </w:r>
          </w:p>
        </w:tc>
        <w:tc>
          <w:tcPr>
            <w:tcW w:type="dxa" w:w="567"/>
          </w:tcPr>
          <w:p>
            <w:pPr>
              <w:pStyle w:val="TableSmall"/>
              <w:jc w:val="left"/>
            </w:pPr>
            <w:r>
              <w:t xml:space="preserve">12</w:t>
            </w:r>
          </w:p>
        </w:tc>
        <w:tc>
          <w:tcPr>
            <w:tcW w:type="dxa" w:w="816"/>
          </w:tcPr>
          <w:p>
            <w:pPr>
              <w:pStyle w:val="TableSmall"/>
              <w:jc w:val="left"/>
            </w:pPr>
            <w:r>
              <w:t xml:space="preserve">1.00</w:t>
            </w:r>
          </w:p>
        </w:tc>
        <w:tc>
          <w:tcPr>
            <w:tcW w:type="dxa" w:w="816"/>
          </w:tcPr>
          <w:p>
            <w:pPr>
              <w:pStyle w:val="TableSmall"/>
              <w:jc w:val="left"/>
            </w:pPr>
            <w:r>
              <w:t xml:space="preserve">0.33</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216</w:t>
            </w:r>
          </w:p>
        </w:tc>
        <w:tc>
          <w:tcPr>
            <w:tcW w:type="dxa" w:w="733"/>
          </w:tcPr>
          <w:p>
            <w:pPr>
              <w:pStyle w:val="TableSmall"/>
              <w:jc w:val="left"/>
            </w:pPr>
            <w:r>
              <w:t xml:space="preserve">15</w:t>
            </w:r>
          </w:p>
        </w:tc>
        <w:tc>
          <w:tcPr>
            <w:tcW w:type="dxa" w:w="570"/>
          </w:tcPr>
          <w:p>
            <w:pPr>
              <w:pStyle w:val="TableSmall"/>
              <w:jc w:val="left"/>
            </w:pPr>
            <w:r>
              <w:t xml:space="preserve">15</w:t>
            </w:r>
          </w:p>
        </w:tc>
      </w:tr>
      <w:tr>
        <w:tc>
          <w:tcPr>
            <w:tcW w:type="dxa" w:w="1300"/>
          </w:tcPr>
          <w:p>
            <w:pPr>
              <w:pStyle w:val="TableSmall"/>
              <w:jc w:val="left"/>
            </w:pPr>
            <w:r>
              <w:t xml:space="preserve">Dell FC630</w:t>
            </w:r>
          </w:p>
        </w:tc>
        <w:tc>
          <w:tcPr>
            <w:tcW w:type="dxa" w:w="899"/>
          </w:tcPr>
          <w:p>
            <w:pPr>
              <w:pStyle w:val="TableSmall"/>
              <w:jc w:val="left"/>
            </w:pPr>
            <w:r>
              <w:t xml:space="preserve">1.0.2</w:t>
            </w:r>
          </w:p>
        </w:tc>
        <w:tc>
          <w:tcPr>
            <w:tcW w:type="dxa" w:w="567"/>
          </w:tcPr>
          <w:p>
            <w:pPr>
              <w:pStyle w:val="TableSmall"/>
              <w:jc w:val="left"/>
            </w:pPr>
            <w:r>
              <w:t xml:space="preserve">283</w:t>
            </w:r>
          </w:p>
        </w:tc>
        <w:tc>
          <w:tcPr>
            <w:tcW w:type="dxa" w:w="400"/>
          </w:tcPr>
          <w:p>
            <w:pPr>
              <w:pStyle w:val="TableSmall"/>
              <w:jc w:val="left"/>
            </w:pPr>
            <w:r>
              <w:t xml:space="preserve">6</w:t>
            </w:r>
          </w:p>
        </w:tc>
        <w:tc>
          <w:tcPr>
            <w:tcW w:type="dxa" w:w="567"/>
          </w:tcPr>
          <w:p>
            <w:pPr>
              <w:pStyle w:val="TableSmall"/>
              <w:jc w:val="left"/>
            </w:pPr>
            <w:r>
              <w:t xml:space="preserve">41</w:t>
            </w:r>
          </w:p>
        </w:tc>
        <w:tc>
          <w:tcPr>
            <w:tcW w:type="dxa" w:w="816"/>
          </w:tcPr>
          <w:p>
            <w:pPr>
              <w:pStyle w:val="TableSmall"/>
              <w:jc w:val="left"/>
            </w:pPr>
            <w:r>
              <w:t xml:space="preserve">1.00</w:t>
            </w:r>
          </w:p>
        </w:tc>
        <w:tc>
          <w:tcPr>
            <w:tcW w:type="dxa" w:w="816"/>
          </w:tcPr>
          <w:p>
            <w:pPr>
              <w:pStyle w:val="TableSmall"/>
              <w:jc w:val="left"/>
            </w:pPr>
            <w:r>
              <w:t xml:space="preserve">0.24</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253</w:t>
            </w:r>
          </w:p>
        </w:tc>
        <w:tc>
          <w:tcPr>
            <w:tcW w:type="dxa" w:w="733"/>
          </w:tcPr>
          <w:p>
            <w:pPr>
              <w:pStyle w:val="TableSmall"/>
              <w:jc w:val="left"/>
            </w:pPr>
            <w:r>
              <w:t xml:space="preserve">26</w:t>
            </w:r>
          </w:p>
        </w:tc>
        <w:tc>
          <w:tcPr>
            <w:tcW w:type="dxa" w:w="570"/>
          </w:tcPr>
          <w:p>
            <w:pPr>
              <w:pStyle w:val="TableSmall"/>
              <w:jc w:val="left"/>
            </w:pPr>
            <w:r>
              <w:t xml:space="preserve">26</w:t>
            </w:r>
          </w:p>
        </w:tc>
      </w:tr>
      <w:tr>
        <w:tc>
          <w:tcPr>
            <w:tcW w:type="dxa" w:w="1300"/>
          </w:tcPr>
          <w:p>
            <w:pPr>
              <w:pStyle w:val="TableSmall"/>
              <w:jc w:val="left"/>
            </w:pPr>
            <w:r>
              <w:t xml:space="preserve">HPE DL325 G10+</w:t>
            </w:r>
          </w:p>
        </w:tc>
        <w:tc>
          <w:tcPr>
            <w:tcW w:type="dxa" w:w="899"/>
          </w:tcPr>
          <w:p>
            <w:pPr>
              <w:pStyle w:val="TableSmall"/>
              <w:jc w:val="left"/>
            </w:pPr>
            <w:r>
              <w:t xml:space="preserve">1.6.0</w:t>
            </w:r>
          </w:p>
        </w:tc>
        <w:tc>
          <w:tcPr>
            <w:tcW w:type="dxa" w:w="567"/>
          </w:tcPr>
          <w:p>
            <w:pPr>
              <w:pStyle w:val="TableSmall"/>
              <w:jc w:val="left"/>
            </w:pPr>
            <w:r>
              <w:t xml:space="preserve">877</w:t>
            </w:r>
          </w:p>
        </w:tc>
        <w:tc>
          <w:tcPr>
            <w:tcW w:type="dxa" w:w="400"/>
          </w:tcPr>
          <w:p>
            <w:pPr>
              <w:pStyle w:val="TableSmall"/>
              <w:jc w:val="left"/>
            </w:pPr>
            <w:r>
              <w:t xml:space="preserve">6</w:t>
            </w:r>
          </w:p>
        </w:tc>
        <w:tc>
          <w:tcPr>
            <w:tcW w:type="dxa" w:w="567"/>
          </w:tcPr>
          <w:p>
            <w:pPr>
              <w:pStyle w:val="TableSmall"/>
              <w:jc w:val="left"/>
            </w:pPr>
            <w:r>
              <w:t xml:space="preserve">70</w:t>
            </w:r>
          </w:p>
        </w:tc>
        <w:tc>
          <w:tcPr>
            <w:tcW w:type="dxa" w:w="816"/>
          </w:tcPr>
          <w:p>
            <w:pPr>
              <w:pStyle w:val="TableSmall"/>
              <w:jc w:val="left"/>
            </w:pPr>
            <w:r>
              <w:t xml:space="preserve">0.94</w:t>
            </w:r>
          </w:p>
        </w:tc>
        <w:tc>
          <w:tcPr>
            <w:tcW w:type="dxa" w:w="816"/>
          </w:tcPr>
          <w:p>
            <w:pPr>
              <w:pStyle w:val="TableSmall"/>
              <w:jc w:val="left"/>
            </w:pPr>
            <w:r>
              <w:t xml:space="preserve">0.36</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647</w:t>
            </w:r>
          </w:p>
        </w:tc>
        <w:tc>
          <w:tcPr>
            <w:tcW w:type="dxa" w:w="733"/>
          </w:tcPr>
          <w:p>
            <w:pPr>
              <w:pStyle w:val="TableSmall"/>
              <w:jc w:val="left"/>
            </w:pPr>
            <w:r>
              <w:t xml:space="preserve">39</w:t>
            </w:r>
          </w:p>
        </w:tc>
        <w:tc>
          <w:tcPr>
            <w:tcW w:type="dxa" w:w="570"/>
          </w:tcPr>
          <w:p>
            <w:pPr>
              <w:pStyle w:val="TableSmall"/>
              <w:jc w:val="left"/>
            </w:pPr>
            <w:r>
              <w:t xml:space="preserve">60</w:t>
            </w:r>
          </w:p>
        </w:tc>
      </w:tr>
      <w:tr>
        <w:tc>
          <w:tcPr>
            <w:tcW w:type="dxa" w:w="1300"/>
          </w:tcPr>
          <w:p>
            <w:pPr>
              <w:pStyle w:val="TableSmall"/>
              <w:jc w:val="left"/>
            </w:pPr>
            <w:r>
              <w:t xml:space="preserve">HPE DL340e</w:t>
            </w:r>
          </w:p>
        </w:tc>
        <w:tc>
          <w:tcPr>
            <w:tcW w:type="dxa" w:w="899"/>
          </w:tcPr>
          <w:p>
            <w:pPr>
              <w:pStyle w:val="TableSmall"/>
              <w:jc w:val="left"/>
            </w:pPr>
            <w:r>
              <w:t xml:space="preserve">1.20.0</w:t>
            </w:r>
          </w:p>
        </w:tc>
        <w:tc>
          <w:tcPr>
            <w:tcW w:type="dxa" w:w="567"/>
          </w:tcPr>
          <w:p>
            <w:pPr>
              <w:pStyle w:val="TableSmall"/>
              <w:jc w:val="left"/>
            </w:pPr>
            <w:r>
              <w:t xml:space="preserve">1222</w:t>
            </w:r>
          </w:p>
        </w:tc>
        <w:tc>
          <w:tcPr>
            <w:tcW w:type="dxa" w:w="400"/>
          </w:tcPr>
          <w:p>
            <w:pPr>
              <w:pStyle w:val="TableSmall"/>
              <w:jc w:val="left"/>
            </w:pPr>
            <w:r>
              <w:t xml:space="preserve">7</w:t>
            </w:r>
          </w:p>
        </w:tc>
        <w:tc>
          <w:tcPr>
            <w:tcW w:type="dxa" w:w="567"/>
          </w:tcPr>
          <w:p>
            <w:pPr>
              <w:pStyle w:val="TableSmall"/>
              <w:jc w:val="left"/>
            </w:pPr>
            <w:r>
              <w:t xml:space="preserve">76</w:t>
            </w:r>
          </w:p>
        </w:tc>
        <w:tc>
          <w:tcPr>
            <w:tcW w:type="dxa" w:w="816"/>
          </w:tcPr>
          <w:p>
            <w:pPr>
              <w:pStyle w:val="TableSmall"/>
              <w:jc w:val="left"/>
            </w:pPr>
            <w:r>
              <w:t xml:space="preserve">0.84</w:t>
            </w:r>
          </w:p>
        </w:tc>
        <w:tc>
          <w:tcPr>
            <w:tcW w:type="dxa" w:w="816"/>
          </w:tcPr>
          <w:p>
            <w:pPr>
              <w:pStyle w:val="TableSmall"/>
              <w:jc w:val="left"/>
            </w:pPr>
            <w:r>
              <w:t xml:space="preserve">0.43</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958</w:t>
            </w:r>
          </w:p>
        </w:tc>
        <w:tc>
          <w:tcPr>
            <w:tcW w:type="dxa" w:w="733"/>
          </w:tcPr>
          <w:p>
            <w:pPr>
              <w:pStyle w:val="TableSmall"/>
              <w:jc w:val="left"/>
            </w:pPr>
            <w:r>
              <w:t xml:space="preserve">78</w:t>
            </w:r>
          </w:p>
        </w:tc>
        <w:tc>
          <w:tcPr>
            <w:tcW w:type="dxa" w:w="570"/>
          </w:tcPr>
          <w:p>
            <w:pPr>
              <w:pStyle w:val="TableSmall"/>
              <w:jc w:val="left"/>
            </w:pPr>
            <w:r>
              <w:t xml:space="preserve">88</w:t>
            </w:r>
          </w:p>
        </w:tc>
      </w:tr>
      <w:tr>
        <w:tc>
          <w:tcPr>
            <w:tcW w:type="dxa" w:w="1300"/>
          </w:tcPr>
          <w:p>
            <w:pPr>
              <w:pStyle w:val="TableSmall"/>
              <w:jc w:val="left"/>
            </w:pPr>
            <w:r>
              <w:t xml:space="preserve">HPE DL360</w:t>
            </w:r>
          </w:p>
        </w:tc>
        <w:tc>
          <w:tcPr>
            <w:tcW w:type="dxa" w:w="899"/>
          </w:tcPr>
          <w:p>
            <w:pPr>
              <w:pStyle w:val="TableSmall"/>
              <w:jc w:val="left"/>
            </w:pPr>
            <w:r>
              <w:t xml:space="preserve">1.20.0</w:t>
            </w:r>
          </w:p>
        </w:tc>
        <w:tc>
          <w:tcPr>
            <w:tcW w:type="dxa" w:w="567"/>
          </w:tcPr>
          <w:p>
            <w:pPr>
              <w:pStyle w:val="TableSmall"/>
              <w:jc w:val="left"/>
            </w:pPr>
            <w:r>
              <w:t xml:space="preserve">1361</w:t>
            </w:r>
          </w:p>
        </w:tc>
        <w:tc>
          <w:tcPr>
            <w:tcW w:type="dxa" w:w="400"/>
          </w:tcPr>
          <w:p>
            <w:pPr>
              <w:pStyle w:val="TableSmall"/>
              <w:jc w:val="left"/>
            </w:pPr>
            <w:r>
              <w:t xml:space="preserve">8</w:t>
            </w:r>
          </w:p>
        </w:tc>
        <w:tc>
          <w:tcPr>
            <w:tcW w:type="dxa" w:w="567"/>
          </w:tcPr>
          <w:p>
            <w:pPr>
              <w:pStyle w:val="TableSmall"/>
              <w:jc w:val="left"/>
            </w:pPr>
            <w:r>
              <w:t xml:space="preserve">106</w:t>
            </w:r>
          </w:p>
        </w:tc>
        <w:tc>
          <w:tcPr>
            <w:tcW w:type="dxa" w:w="816"/>
          </w:tcPr>
          <w:p>
            <w:pPr>
              <w:pStyle w:val="TableSmall"/>
              <w:jc w:val="left"/>
            </w:pPr>
            <w:r>
              <w:t xml:space="preserve">0.92</w:t>
            </w:r>
          </w:p>
        </w:tc>
        <w:tc>
          <w:tcPr>
            <w:tcW w:type="dxa" w:w="816"/>
          </w:tcPr>
          <w:p>
            <w:pPr>
              <w:pStyle w:val="TableSmall"/>
              <w:jc w:val="left"/>
            </w:pPr>
            <w:r>
              <w:t xml:space="preserve">0.41</w:t>
            </w:r>
          </w:p>
        </w:tc>
        <w:tc>
          <w:tcPr>
            <w:tcW w:type="dxa" w:w="733"/>
          </w:tcPr>
          <w:p>
            <w:pPr>
              <w:pStyle w:val="TableSmall"/>
              <w:jc w:val="left"/>
            </w:pPr>
            <w:r>
              <w:t xml:space="preserve">0.94</w:t>
            </w:r>
          </w:p>
        </w:tc>
        <w:tc>
          <w:tcPr>
            <w:tcW w:type="dxa" w:w="567"/>
          </w:tcPr>
          <w:p>
            <w:pPr>
              <w:pStyle w:val="TableSmall"/>
              <w:jc w:val="left"/>
            </w:pPr>
            <w:r>
              <w:t xml:space="preserve">1.00</w:t>
            </w:r>
          </w:p>
        </w:tc>
        <w:tc>
          <w:tcPr>
            <w:tcW w:type="dxa" w:w="650"/>
          </w:tcPr>
          <w:p>
            <w:pPr>
              <w:pStyle w:val="TableSmall"/>
              <w:jc w:val="left"/>
            </w:pPr>
            <w:r>
              <w:t xml:space="preserve">1076</w:t>
            </w:r>
          </w:p>
        </w:tc>
        <w:tc>
          <w:tcPr>
            <w:tcW w:type="dxa" w:w="733"/>
          </w:tcPr>
          <w:p>
            <w:pPr>
              <w:pStyle w:val="TableSmall"/>
              <w:jc w:val="left"/>
            </w:pPr>
            <w:r>
              <w:t xml:space="preserve">57</w:t>
            </w:r>
          </w:p>
        </w:tc>
        <w:tc>
          <w:tcPr>
            <w:tcW w:type="dxa" w:w="570"/>
          </w:tcPr>
          <w:p>
            <w:pPr>
              <w:pStyle w:val="TableSmall"/>
              <w:jc w:val="left"/>
            </w:pPr>
            <w:r>
              <w:t xml:space="preserve">78</w:t>
            </w:r>
          </w:p>
        </w:tc>
      </w:tr>
      <w:tr>
        <w:tc>
          <w:tcPr>
            <w:tcW w:type="dxa" w:w="1300"/>
          </w:tcPr>
          <w:p>
            <w:pPr>
              <w:pStyle w:val="TableSmall"/>
              <w:jc w:val="left"/>
            </w:pPr>
            <w:r>
              <w:t xml:space="preserve">HPE DL360 G12</w:t>
            </w:r>
          </w:p>
        </w:tc>
        <w:tc>
          <w:tcPr>
            <w:tcW w:type="dxa" w:w="899"/>
          </w:tcPr>
          <w:p>
            <w:pPr>
              <w:pStyle w:val="TableSmall"/>
              <w:jc w:val="left"/>
            </w:pPr>
            <w:r>
              <w:t xml:space="preserve">1.20.0</w:t>
            </w:r>
          </w:p>
        </w:tc>
        <w:tc>
          <w:tcPr>
            <w:tcW w:type="dxa" w:w="567"/>
          </w:tcPr>
          <w:p>
            <w:pPr>
              <w:pStyle w:val="TableSmall"/>
              <w:jc w:val="left"/>
            </w:pPr>
            <w:r>
              <w:t xml:space="preserve">942</w:t>
            </w:r>
          </w:p>
        </w:tc>
        <w:tc>
          <w:tcPr>
            <w:tcW w:type="dxa" w:w="400"/>
          </w:tcPr>
          <w:p>
            <w:pPr>
              <w:pStyle w:val="TableSmall"/>
              <w:jc w:val="left"/>
            </w:pPr>
            <w:r>
              <w:t xml:space="preserve">8</w:t>
            </w:r>
          </w:p>
        </w:tc>
        <w:tc>
          <w:tcPr>
            <w:tcW w:type="dxa" w:w="567"/>
          </w:tcPr>
          <w:p>
            <w:pPr>
              <w:pStyle w:val="TableSmall"/>
              <w:jc w:val="left"/>
            </w:pPr>
            <w:r>
              <w:t xml:space="preserve">91</w:t>
            </w:r>
          </w:p>
        </w:tc>
        <w:tc>
          <w:tcPr>
            <w:tcW w:type="dxa" w:w="816"/>
          </w:tcPr>
          <w:p>
            <w:pPr>
              <w:pStyle w:val="TableSmall"/>
              <w:jc w:val="left"/>
            </w:pPr>
            <w:r>
              <w:t xml:space="preserve">0.88</w:t>
            </w:r>
          </w:p>
        </w:tc>
        <w:tc>
          <w:tcPr>
            <w:tcW w:type="dxa" w:w="816"/>
          </w:tcPr>
          <w:p>
            <w:pPr>
              <w:pStyle w:val="TableSmall"/>
              <w:jc w:val="left"/>
            </w:pPr>
            <w:r>
              <w:t xml:space="preserve">0.52</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700</w:t>
            </w:r>
          </w:p>
        </w:tc>
        <w:tc>
          <w:tcPr>
            <w:tcW w:type="dxa" w:w="733"/>
          </w:tcPr>
          <w:p>
            <w:pPr>
              <w:pStyle w:val="TableSmall"/>
              <w:jc w:val="left"/>
            </w:pPr>
            <w:r>
              <w:t xml:space="preserve">99</w:t>
            </w:r>
          </w:p>
        </w:tc>
        <w:tc>
          <w:tcPr>
            <w:tcW w:type="dxa" w:w="570"/>
          </w:tcPr>
          <w:p>
            <w:pPr>
              <w:pStyle w:val="TableSmall"/>
              <w:jc w:val="left"/>
            </w:pPr>
            <w:r>
              <w:t xml:space="preserve">128</w:t>
            </w:r>
          </w:p>
        </w:tc>
      </w:tr>
      <w:tr>
        <w:tc>
          <w:tcPr>
            <w:tcW w:type="dxa" w:w="1300"/>
          </w:tcPr>
          <w:p>
            <w:pPr>
              <w:pStyle w:val="TableSmall"/>
              <w:jc w:val="left"/>
            </w:pPr>
            <w:r>
              <w:t xml:space="preserve">HPE DL365 G10+</w:t>
            </w:r>
          </w:p>
        </w:tc>
        <w:tc>
          <w:tcPr>
            <w:tcW w:type="dxa" w:w="899"/>
          </w:tcPr>
          <w:p>
            <w:pPr>
              <w:pStyle w:val="TableSmall"/>
              <w:jc w:val="left"/>
            </w:pPr>
            <w:r>
              <w:t xml:space="preserve">1.20.0</w:t>
            </w:r>
          </w:p>
        </w:tc>
        <w:tc>
          <w:tcPr>
            <w:tcW w:type="dxa" w:w="567"/>
          </w:tcPr>
          <w:p>
            <w:pPr>
              <w:pStyle w:val="TableSmall"/>
              <w:jc w:val="left"/>
            </w:pPr>
            <w:r>
              <w:t xml:space="preserve">1811</w:t>
            </w:r>
          </w:p>
        </w:tc>
        <w:tc>
          <w:tcPr>
            <w:tcW w:type="dxa" w:w="400"/>
          </w:tcPr>
          <w:p>
            <w:pPr>
              <w:pStyle w:val="TableSmall"/>
              <w:jc w:val="left"/>
            </w:pPr>
            <w:r>
              <w:t xml:space="preserve">8</w:t>
            </w:r>
          </w:p>
        </w:tc>
        <w:tc>
          <w:tcPr>
            <w:tcW w:type="dxa" w:w="567"/>
          </w:tcPr>
          <w:p>
            <w:pPr>
              <w:pStyle w:val="TableSmall"/>
              <w:jc w:val="left"/>
            </w:pPr>
            <w:r>
              <w:t xml:space="preserve">100</w:t>
            </w:r>
          </w:p>
        </w:tc>
        <w:tc>
          <w:tcPr>
            <w:tcW w:type="dxa" w:w="816"/>
          </w:tcPr>
          <w:p>
            <w:pPr>
              <w:pStyle w:val="TableSmall"/>
              <w:jc w:val="left"/>
            </w:pPr>
            <w:r>
              <w:t xml:space="preserve">0.90</w:t>
            </w:r>
          </w:p>
        </w:tc>
        <w:tc>
          <w:tcPr>
            <w:tcW w:type="dxa" w:w="816"/>
          </w:tcPr>
          <w:p>
            <w:pPr>
              <w:pStyle w:val="TableSmall"/>
              <w:jc w:val="left"/>
            </w:pPr>
            <w:r>
              <w:t xml:space="preserve">0.40</w:t>
            </w:r>
          </w:p>
        </w:tc>
        <w:tc>
          <w:tcPr>
            <w:tcW w:type="dxa" w:w="733"/>
          </w:tcPr>
          <w:p>
            <w:pPr>
              <w:pStyle w:val="TableSmall"/>
              <w:jc w:val="left"/>
            </w:pPr>
            <w:r>
              <w:t xml:space="preserve">0.94</w:t>
            </w:r>
          </w:p>
        </w:tc>
        <w:tc>
          <w:tcPr>
            <w:tcW w:type="dxa" w:w="567"/>
          </w:tcPr>
          <w:p>
            <w:pPr>
              <w:pStyle w:val="TableSmall"/>
              <w:jc w:val="left"/>
            </w:pPr>
            <w:r>
              <w:t xml:space="preserve">1.00</w:t>
            </w:r>
          </w:p>
        </w:tc>
        <w:tc>
          <w:tcPr>
            <w:tcW w:type="dxa" w:w="650"/>
          </w:tcPr>
          <w:p>
            <w:pPr>
              <w:pStyle w:val="TableSmall"/>
              <w:jc w:val="left"/>
            </w:pPr>
            <w:r>
              <w:t xml:space="preserve">1410</w:t>
            </w:r>
          </w:p>
        </w:tc>
        <w:tc>
          <w:tcPr>
            <w:tcW w:type="dxa" w:w="733"/>
          </w:tcPr>
          <w:p>
            <w:pPr>
              <w:pStyle w:val="TableSmall"/>
              <w:jc w:val="left"/>
            </w:pPr>
            <w:r>
              <w:t xml:space="preserve">54</w:t>
            </w:r>
          </w:p>
        </w:tc>
        <w:tc>
          <w:tcPr>
            <w:tcW w:type="dxa" w:w="570"/>
          </w:tcPr>
          <w:p>
            <w:pPr>
              <w:pStyle w:val="TableSmall"/>
              <w:jc w:val="left"/>
            </w:pPr>
            <w:r>
              <w:t xml:space="preserve">91</w:t>
            </w:r>
          </w:p>
        </w:tc>
      </w:tr>
      <w:tr>
        <w:tc>
          <w:tcPr>
            <w:tcW w:type="dxa" w:w="1300"/>
          </w:tcPr>
          <w:p>
            <w:pPr>
              <w:pStyle w:val="TableSmall"/>
              <w:jc w:val="left"/>
            </w:pPr>
            <w:r>
              <w:t xml:space="preserve">HPE DL380a</w:t>
            </w:r>
          </w:p>
        </w:tc>
        <w:tc>
          <w:tcPr>
            <w:tcW w:type="dxa" w:w="899"/>
          </w:tcPr>
          <w:p>
            <w:pPr>
              <w:pStyle w:val="TableSmall"/>
              <w:jc w:val="left"/>
            </w:pPr>
            <w:r>
              <w:t xml:space="preserve">1.20.0</w:t>
            </w:r>
          </w:p>
        </w:tc>
        <w:tc>
          <w:tcPr>
            <w:tcW w:type="dxa" w:w="567"/>
          </w:tcPr>
          <w:p>
            <w:pPr>
              <w:pStyle w:val="TableSmall"/>
              <w:jc w:val="left"/>
            </w:pPr>
            <w:r>
              <w:t xml:space="preserve">1487</w:t>
            </w:r>
          </w:p>
        </w:tc>
        <w:tc>
          <w:tcPr>
            <w:tcW w:type="dxa" w:w="400"/>
          </w:tcPr>
          <w:p>
            <w:pPr>
              <w:pStyle w:val="TableSmall"/>
              <w:jc w:val="left"/>
            </w:pPr>
            <w:r>
              <w:t xml:space="preserve">8</w:t>
            </w:r>
          </w:p>
        </w:tc>
        <w:tc>
          <w:tcPr>
            <w:tcW w:type="dxa" w:w="567"/>
          </w:tcPr>
          <w:p>
            <w:pPr>
              <w:pStyle w:val="TableSmall"/>
              <w:jc w:val="left"/>
            </w:pPr>
            <w:r>
              <w:t xml:space="preserve">112</w:t>
            </w:r>
          </w:p>
        </w:tc>
        <w:tc>
          <w:tcPr>
            <w:tcW w:type="dxa" w:w="816"/>
          </w:tcPr>
          <w:p>
            <w:pPr>
              <w:pStyle w:val="TableSmall"/>
              <w:jc w:val="left"/>
            </w:pPr>
            <w:r>
              <w:t xml:space="preserve">0.83</w:t>
            </w:r>
          </w:p>
        </w:tc>
        <w:tc>
          <w:tcPr>
            <w:tcW w:type="dxa" w:w="816"/>
          </w:tcPr>
          <w:p>
            <w:pPr>
              <w:pStyle w:val="TableSmall"/>
              <w:jc w:val="left"/>
            </w:pPr>
            <w:r>
              <w:t xml:space="preserve">0.44</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1222</w:t>
            </w:r>
          </w:p>
        </w:tc>
        <w:tc>
          <w:tcPr>
            <w:tcW w:type="dxa" w:w="733"/>
          </w:tcPr>
          <w:p>
            <w:pPr>
              <w:pStyle w:val="TableSmall"/>
              <w:jc w:val="left"/>
            </w:pPr>
            <w:r>
              <w:t xml:space="preserve">123</w:t>
            </w:r>
          </w:p>
        </w:tc>
        <w:tc>
          <w:tcPr>
            <w:tcW w:type="dxa" w:w="570"/>
          </w:tcPr>
          <w:p>
            <w:pPr>
              <w:pStyle w:val="TableSmall"/>
              <w:jc w:val="left"/>
            </w:pPr>
            <w:r>
              <w:t xml:space="preserve">156</w:t>
            </w:r>
          </w:p>
        </w:tc>
      </w:tr>
      <w:tr>
        <w:tc>
          <w:tcPr>
            <w:tcW w:type="dxa" w:w="1300"/>
          </w:tcPr>
          <w:p>
            <w:pPr>
              <w:pStyle w:val="TableSmall"/>
              <w:jc w:val="left"/>
            </w:pPr>
            <w:r>
              <w:t xml:space="preserve">HPE DL380a G12</w:t>
            </w:r>
          </w:p>
        </w:tc>
        <w:tc>
          <w:tcPr>
            <w:tcW w:type="dxa" w:w="899"/>
          </w:tcPr>
          <w:p>
            <w:pPr>
              <w:pStyle w:val="TableSmall"/>
              <w:jc w:val="left"/>
            </w:pPr>
            <w:r>
              <w:t xml:space="preserve">1.20.0</w:t>
            </w:r>
          </w:p>
        </w:tc>
        <w:tc>
          <w:tcPr>
            <w:tcW w:type="dxa" w:w="567"/>
          </w:tcPr>
          <w:p>
            <w:pPr>
              <w:pStyle w:val="TableSmall"/>
              <w:jc w:val="left"/>
            </w:pPr>
            <w:r>
              <w:t xml:space="preserve">1714</w:t>
            </w:r>
          </w:p>
        </w:tc>
        <w:tc>
          <w:tcPr>
            <w:tcW w:type="dxa" w:w="400"/>
          </w:tcPr>
          <w:p>
            <w:pPr>
              <w:pStyle w:val="TableSmall"/>
              <w:jc w:val="left"/>
            </w:pPr>
            <w:r>
              <w:t xml:space="preserve">7</w:t>
            </w:r>
          </w:p>
        </w:tc>
        <w:tc>
          <w:tcPr>
            <w:tcW w:type="dxa" w:w="567"/>
          </w:tcPr>
          <w:p>
            <w:pPr>
              <w:pStyle w:val="TableSmall"/>
              <w:jc w:val="left"/>
            </w:pPr>
            <w:r>
              <w:t xml:space="preserve">181</w:t>
            </w:r>
          </w:p>
        </w:tc>
        <w:tc>
          <w:tcPr>
            <w:tcW w:type="dxa" w:w="816"/>
          </w:tcPr>
          <w:p>
            <w:pPr>
              <w:pStyle w:val="TableSmall"/>
              <w:jc w:val="left"/>
            </w:pPr>
            <w:r>
              <w:t xml:space="preserve">0.83</w:t>
            </w:r>
          </w:p>
        </w:tc>
        <w:tc>
          <w:tcPr>
            <w:tcW w:type="dxa" w:w="816"/>
          </w:tcPr>
          <w:p>
            <w:pPr>
              <w:pStyle w:val="TableSmall"/>
              <w:jc w:val="left"/>
            </w:pPr>
            <w:r>
              <w:t xml:space="preserve">0.37</w:t>
            </w:r>
          </w:p>
        </w:tc>
        <w:tc>
          <w:tcPr>
            <w:tcW w:type="dxa" w:w="733"/>
          </w:tcPr>
          <w:p>
            <w:pPr>
              <w:pStyle w:val="TableSmall"/>
              <w:jc w:val="left"/>
            </w:pPr>
            <w:r>
              <w:t xml:space="preserve">0.96</w:t>
            </w:r>
          </w:p>
        </w:tc>
        <w:tc>
          <w:tcPr>
            <w:tcW w:type="dxa" w:w="567"/>
          </w:tcPr>
          <w:p>
            <w:pPr>
              <w:pStyle w:val="TableSmall"/>
              <w:jc w:val="left"/>
            </w:pPr>
            <w:r>
              <w:t xml:space="preserve">0.98</w:t>
            </w:r>
          </w:p>
        </w:tc>
        <w:tc>
          <w:tcPr>
            <w:tcW w:type="dxa" w:w="650"/>
          </w:tcPr>
          <w:p>
            <w:pPr>
              <w:pStyle w:val="TableSmall"/>
              <w:jc w:val="left"/>
            </w:pPr>
            <w:r>
              <w:t xml:space="preserve">1257</w:t>
            </w:r>
          </w:p>
        </w:tc>
        <w:tc>
          <w:tcPr>
            <w:tcW w:type="dxa" w:w="733"/>
          </w:tcPr>
          <w:p>
            <w:pPr>
              <w:pStyle w:val="TableSmall"/>
              <w:jc w:val="left"/>
            </w:pPr>
            <w:r>
              <w:t xml:space="preserve">174</w:t>
            </w:r>
          </w:p>
        </w:tc>
        <w:tc>
          <w:tcPr>
            <w:tcW w:type="dxa" w:w="570"/>
          </w:tcPr>
          <w:p>
            <w:pPr>
              <w:pStyle w:val="TableSmall"/>
              <w:jc w:val="left"/>
            </w:pPr>
            <w:r>
              <w:t xml:space="preserve">220</w:t>
            </w:r>
          </w:p>
        </w:tc>
      </w:tr>
      <w:tr>
        <w:tc>
          <w:tcPr>
            <w:tcW w:type="dxa" w:w="1300"/>
          </w:tcPr>
          <w:p>
            <w:pPr>
              <w:pStyle w:val="TableSmall"/>
              <w:jc w:val="left"/>
            </w:pPr>
            <w:r>
              <w:t xml:space="preserve">HPE DL325 (CSM)</w:t>
            </w:r>
          </w:p>
        </w:tc>
        <w:tc>
          <w:tcPr>
            <w:tcW w:type="dxa" w:w="899"/>
          </w:tcPr>
          <w:p>
            <w:pPr>
              <w:pStyle w:val="TableSmall"/>
              <w:jc w:val="left"/>
            </w:pPr>
            <w:r>
              <w:t xml:space="preserve">1.6.0</w:t>
            </w:r>
          </w:p>
        </w:tc>
        <w:tc>
          <w:tcPr>
            <w:tcW w:type="dxa" w:w="567"/>
          </w:tcPr>
          <w:p>
            <w:pPr>
              <w:pStyle w:val="TableSmall"/>
              <w:jc w:val="left"/>
            </w:pPr>
            <w:r>
              <w:t xml:space="preserve">852</w:t>
            </w:r>
          </w:p>
        </w:tc>
        <w:tc>
          <w:tcPr>
            <w:tcW w:type="dxa" w:w="400"/>
          </w:tcPr>
          <w:p>
            <w:pPr>
              <w:pStyle w:val="TableSmall"/>
              <w:jc w:val="left"/>
            </w:pPr>
            <w:r>
              <w:t xml:space="preserve">6</w:t>
            </w:r>
          </w:p>
        </w:tc>
        <w:tc>
          <w:tcPr>
            <w:tcW w:type="dxa" w:w="567"/>
          </w:tcPr>
          <w:p>
            <w:pPr>
              <w:pStyle w:val="TableSmall"/>
              <w:jc w:val="left"/>
            </w:pPr>
            <w:r>
              <w:t xml:space="preserve">66</w:t>
            </w:r>
          </w:p>
        </w:tc>
        <w:tc>
          <w:tcPr>
            <w:tcW w:type="dxa" w:w="816"/>
          </w:tcPr>
          <w:p>
            <w:pPr>
              <w:pStyle w:val="TableSmall"/>
              <w:jc w:val="left"/>
            </w:pPr>
            <w:r>
              <w:t xml:space="preserve">1.00</w:t>
            </w:r>
          </w:p>
        </w:tc>
        <w:tc>
          <w:tcPr>
            <w:tcW w:type="dxa" w:w="816"/>
          </w:tcPr>
          <w:p>
            <w:pPr>
              <w:pStyle w:val="TableSmall"/>
              <w:jc w:val="left"/>
            </w:pPr>
            <w:r>
              <w:t xml:space="preserve">0.32</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618</w:t>
            </w:r>
          </w:p>
        </w:tc>
        <w:tc>
          <w:tcPr>
            <w:tcW w:type="dxa" w:w="733"/>
          </w:tcPr>
          <w:p>
            <w:pPr>
              <w:pStyle w:val="TableSmall"/>
              <w:jc w:val="left"/>
            </w:pPr>
            <w:r>
              <w:t xml:space="preserve">33</w:t>
            </w:r>
          </w:p>
        </w:tc>
        <w:tc>
          <w:tcPr>
            <w:tcW w:type="dxa" w:w="570"/>
          </w:tcPr>
          <w:p>
            <w:pPr>
              <w:pStyle w:val="TableSmall"/>
              <w:jc w:val="left"/>
            </w:pPr>
            <w:r>
              <w:t xml:space="preserve">35</w:t>
            </w:r>
          </w:p>
        </w:tc>
      </w:tr>
      <w:tr>
        <w:tc>
          <w:tcPr>
            <w:tcW w:type="dxa" w:w="1300"/>
          </w:tcPr>
          <w:p>
            <w:pPr>
              <w:pStyle w:val="TableSmall"/>
              <w:jc w:val="left"/>
            </w:pPr>
            <w:r>
              <w:t xml:space="preserve">HPE XL675d A100</w:t>
            </w:r>
          </w:p>
        </w:tc>
        <w:tc>
          <w:tcPr>
            <w:tcW w:type="dxa" w:w="899"/>
          </w:tcPr>
          <w:p>
            <w:pPr>
              <w:pStyle w:val="TableSmall"/>
              <w:jc w:val="left"/>
            </w:pPr>
            <w:r>
              <w:t xml:space="preserve">1.6.0</w:t>
            </w:r>
          </w:p>
        </w:tc>
        <w:tc>
          <w:tcPr>
            <w:tcW w:type="dxa" w:w="567"/>
          </w:tcPr>
          <w:p>
            <w:pPr>
              <w:pStyle w:val="TableSmall"/>
              <w:jc w:val="left"/>
            </w:pPr>
            <w:r>
              <w:t xml:space="preserve">454</w:t>
            </w:r>
          </w:p>
        </w:tc>
        <w:tc>
          <w:tcPr>
            <w:tcW w:type="dxa" w:w="400"/>
          </w:tcPr>
          <w:p>
            <w:pPr>
              <w:pStyle w:val="TableSmall"/>
              <w:jc w:val="left"/>
            </w:pPr>
            <w:r>
              <w:t xml:space="preserve">8</w:t>
            </w:r>
          </w:p>
        </w:tc>
        <w:tc>
          <w:tcPr>
            <w:tcW w:type="dxa" w:w="567"/>
          </w:tcPr>
          <w:p>
            <w:pPr>
              <w:pStyle w:val="TableSmall"/>
              <w:jc w:val="left"/>
            </w:pPr>
            <w:r>
              <w:t xml:space="preserve">128</w:t>
            </w:r>
          </w:p>
        </w:tc>
        <w:tc>
          <w:tcPr>
            <w:tcW w:type="dxa" w:w="816"/>
          </w:tcPr>
          <w:p>
            <w:pPr>
              <w:pStyle w:val="TableSmall"/>
              <w:jc w:val="left"/>
            </w:pPr>
            <w:r>
              <w:t xml:space="preserve">0.98</w:t>
            </w:r>
          </w:p>
        </w:tc>
        <w:tc>
          <w:tcPr>
            <w:tcW w:type="dxa" w:w="816"/>
          </w:tcPr>
          <w:p>
            <w:pPr>
              <w:pStyle w:val="TableSmall"/>
              <w:jc w:val="left"/>
            </w:pPr>
            <w:r>
              <w:t xml:space="preserve">0.33</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428</w:t>
            </w:r>
          </w:p>
        </w:tc>
        <w:tc>
          <w:tcPr>
            <w:tcW w:type="dxa" w:w="733"/>
          </w:tcPr>
          <w:p>
            <w:pPr>
              <w:pStyle w:val="TableSmall"/>
              <w:jc w:val="left"/>
            </w:pPr>
            <w:r>
              <w:t xml:space="preserve">56</w:t>
            </w:r>
          </w:p>
        </w:tc>
        <w:tc>
          <w:tcPr>
            <w:tcW w:type="dxa" w:w="570"/>
          </w:tcPr>
          <w:p>
            <w:pPr>
              <w:pStyle w:val="TableSmall"/>
              <w:jc w:val="left"/>
            </w:pPr>
            <w:r>
              <w:t xml:space="preserve">63</w:t>
            </w:r>
          </w:p>
        </w:tc>
      </w:tr>
      <w:tr>
        <w:tc>
          <w:tcPr>
            <w:tcW w:type="dxa" w:w="1300"/>
          </w:tcPr>
          <w:p>
            <w:pPr>
              <w:pStyle w:val="TableSmall"/>
              <w:jc w:val="left"/>
            </w:pPr>
            <w:r>
              <w:t xml:space="preserve">HPE XL675d A40</w:t>
            </w:r>
          </w:p>
        </w:tc>
        <w:tc>
          <w:tcPr>
            <w:tcW w:type="dxa" w:w="899"/>
          </w:tcPr>
          <w:p>
            <w:pPr>
              <w:pStyle w:val="TableSmall"/>
              <w:jc w:val="left"/>
            </w:pPr>
            <w:r>
              <w:t xml:space="preserve">1.6.0</w:t>
            </w:r>
          </w:p>
        </w:tc>
        <w:tc>
          <w:tcPr>
            <w:tcW w:type="dxa" w:w="567"/>
          </w:tcPr>
          <w:p>
            <w:pPr>
              <w:pStyle w:val="TableSmall"/>
              <w:jc w:val="left"/>
            </w:pPr>
            <w:r>
              <w:t xml:space="preserve">895</w:t>
            </w:r>
          </w:p>
        </w:tc>
        <w:tc>
          <w:tcPr>
            <w:tcW w:type="dxa" w:w="400"/>
          </w:tcPr>
          <w:p>
            <w:pPr>
              <w:pStyle w:val="TableSmall"/>
              <w:jc w:val="left"/>
            </w:pPr>
            <w:r>
              <w:t xml:space="preserve">6</w:t>
            </w:r>
          </w:p>
        </w:tc>
        <w:tc>
          <w:tcPr>
            <w:tcW w:type="dxa" w:w="567"/>
          </w:tcPr>
          <w:p>
            <w:pPr>
              <w:pStyle w:val="TableSmall"/>
              <w:jc w:val="left"/>
            </w:pPr>
            <w:r>
              <w:t xml:space="preserve">147</w:t>
            </w:r>
          </w:p>
        </w:tc>
        <w:tc>
          <w:tcPr>
            <w:tcW w:type="dxa" w:w="816"/>
          </w:tcPr>
          <w:p>
            <w:pPr>
              <w:pStyle w:val="TableSmall"/>
              <w:jc w:val="left"/>
            </w:pPr>
            <w:r>
              <w:t xml:space="preserve">0.99</w:t>
            </w:r>
          </w:p>
        </w:tc>
        <w:tc>
          <w:tcPr>
            <w:tcW w:type="dxa" w:w="816"/>
          </w:tcPr>
          <w:p>
            <w:pPr>
              <w:pStyle w:val="TableSmall"/>
              <w:jc w:val="left"/>
            </w:pPr>
            <w:r>
              <w:t xml:space="preserve">0.27</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677</w:t>
            </w:r>
          </w:p>
        </w:tc>
        <w:tc>
          <w:tcPr>
            <w:tcW w:type="dxa" w:w="733"/>
          </w:tcPr>
          <w:p>
            <w:pPr>
              <w:pStyle w:val="TableSmall"/>
              <w:jc w:val="left"/>
            </w:pPr>
            <w:r>
              <w:t xml:space="preserve">52</w:t>
            </w:r>
          </w:p>
        </w:tc>
        <w:tc>
          <w:tcPr>
            <w:tcW w:type="dxa" w:w="570"/>
          </w:tcPr>
          <w:p>
            <w:pPr>
              <w:pStyle w:val="TableSmall"/>
              <w:jc w:val="left"/>
            </w:pPr>
            <w:r>
              <w:t xml:space="preserve">91</w:t>
            </w:r>
          </w:p>
        </w:tc>
      </w:tr>
      <w:tr>
        <w:tc>
          <w:tcPr>
            <w:tcW w:type="dxa" w:w="1300"/>
          </w:tcPr>
          <w:p>
            <w:pPr>
              <w:pStyle w:val="TableSmall"/>
              <w:jc w:val="left"/>
            </w:pPr>
            <w:r>
              <w:t xml:space="preserve">Cray EX235a</w:t>
            </w:r>
          </w:p>
        </w:tc>
        <w:tc>
          <w:tcPr>
            <w:tcW w:type="dxa" w:w="899"/>
          </w:tcPr>
          <w:p>
            <w:pPr>
              <w:pStyle w:val="TableSmall"/>
              <w:jc w:val="left"/>
            </w:pPr>
            <w:r>
              <w:t xml:space="preserve">1.2.0</w:t>
            </w:r>
          </w:p>
        </w:tc>
        <w:tc>
          <w:tcPr>
            <w:tcW w:type="dxa" w:w="567"/>
          </w:tcPr>
          <w:p>
            <w:pPr>
              <w:pStyle w:val="TableSmall"/>
              <w:jc w:val="left"/>
            </w:pPr>
            <w:r>
              <w:t xml:space="preserve">389</w:t>
            </w:r>
          </w:p>
        </w:tc>
        <w:tc>
          <w:tcPr>
            <w:tcW w:type="dxa" w:w="400"/>
          </w:tcPr>
          <w:p>
            <w:pPr>
              <w:pStyle w:val="TableSmall"/>
              <w:jc w:val="left"/>
            </w:pPr>
            <w:r>
              <w:t xml:space="preserve">6</w:t>
            </w:r>
          </w:p>
        </w:tc>
        <w:tc>
          <w:tcPr>
            <w:tcW w:type="dxa" w:w="567"/>
          </w:tcPr>
          <w:p>
            <w:pPr>
              <w:pStyle w:val="TableSmall"/>
              <w:jc w:val="left"/>
            </w:pPr>
            <w:r>
              <w:t xml:space="preserve">116</w:t>
            </w:r>
          </w:p>
        </w:tc>
        <w:tc>
          <w:tcPr>
            <w:tcW w:type="dxa" w:w="816"/>
          </w:tcPr>
          <w:p>
            <w:pPr>
              <w:pStyle w:val="TableSmall"/>
              <w:jc w:val="left"/>
            </w:pPr>
            <w:r>
              <w:t xml:space="preserve">0.52</w:t>
            </w:r>
          </w:p>
        </w:tc>
        <w:tc>
          <w:tcPr>
            <w:tcW w:type="dxa" w:w="816"/>
          </w:tcPr>
          <w:p>
            <w:pPr>
              <w:pStyle w:val="TableSmall"/>
              <w:jc w:val="left"/>
            </w:pPr>
            <w:r>
              <w:t xml:space="preserve">0.67</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354</w:t>
            </w:r>
          </w:p>
        </w:tc>
        <w:tc>
          <w:tcPr>
            <w:tcW w:type="dxa" w:w="733"/>
          </w:tcPr>
          <w:p>
            <w:pPr>
              <w:pStyle w:val="TableSmall"/>
              <w:jc w:val="left"/>
            </w:pPr>
            <w:r>
              <w:t xml:space="preserve">225</w:t>
            </w:r>
          </w:p>
        </w:tc>
        <w:tc>
          <w:tcPr>
            <w:tcW w:type="dxa" w:w="570"/>
          </w:tcPr>
          <w:p>
            <w:pPr>
              <w:pStyle w:val="TableSmall"/>
              <w:jc w:val="left"/>
            </w:pPr>
            <w:r>
              <w:t xml:space="preserve">239</w:t>
            </w:r>
          </w:p>
        </w:tc>
      </w:tr>
      <w:tr>
        <w:tc>
          <w:tcPr>
            <w:tcW w:type="dxa" w:w="1300"/>
          </w:tcPr>
          <w:p>
            <w:pPr>
              <w:pStyle w:val="TableSmall"/>
              <w:jc w:val="left"/>
            </w:pPr>
            <w:r>
              <w:t xml:space="preserve">Cray EX425</w:t>
            </w:r>
          </w:p>
        </w:tc>
        <w:tc>
          <w:tcPr>
            <w:tcW w:type="dxa" w:w="899"/>
          </w:tcPr>
          <w:p>
            <w:pPr>
              <w:pStyle w:val="TableSmall"/>
              <w:jc w:val="left"/>
            </w:pPr>
            <w:r>
              <w:t xml:space="preserve">1.2.0</w:t>
            </w:r>
          </w:p>
        </w:tc>
        <w:tc>
          <w:tcPr>
            <w:tcW w:type="dxa" w:w="567"/>
          </w:tcPr>
          <w:p>
            <w:pPr>
              <w:pStyle w:val="TableSmall"/>
              <w:jc w:val="left"/>
            </w:pPr>
            <w:r>
              <w:t xml:space="preserve">483</w:t>
            </w:r>
          </w:p>
        </w:tc>
        <w:tc>
          <w:tcPr>
            <w:tcW w:type="dxa" w:w="400"/>
          </w:tcPr>
          <w:p>
            <w:pPr>
              <w:pStyle w:val="TableSmall"/>
              <w:jc w:val="left"/>
            </w:pPr>
            <w:r>
              <w:t xml:space="preserve">6</w:t>
            </w:r>
          </w:p>
        </w:tc>
        <w:tc>
          <w:tcPr>
            <w:tcW w:type="dxa" w:w="567"/>
          </w:tcPr>
          <w:p>
            <w:pPr>
              <w:pStyle w:val="TableSmall"/>
              <w:jc w:val="left"/>
            </w:pPr>
            <w:r>
              <w:t xml:space="preserve">136</w:t>
            </w:r>
          </w:p>
        </w:tc>
        <w:tc>
          <w:tcPr>
            <w:tcW w:type="dxa" w:w="816"/>
          </w:tcPr>
          <w:p>
            <w:pPr>
              <w:pStyle w:val="TableSmall"/>
              <w:jc w:val="left"/>
            </w:pPr>
            <w:r>
              <w:t xml:space="preserve">0.62</w:t>
            </w:r>
          </w:p>
        </w:tc>
        <w:tc>
          <w:tcPr>
            <w:tcW w:type="dxa" w:w="816"/>
          </w:tcPr>
          <w:p>
            <w:pPr>
              <w:pStyle w:val="TableSmall"/>
              <w:jc w:val="left"/>
            </w:pPr>
            <w:r>
              <w:t xml:space="preserve">0.67</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455</w:t>
            </w:r>
          </w:p>
        </w:tc>
        <w:tc>
          <w:tcPr>
            <w:tcW w:type="dxa" w:w="733"/>
          </w:tcPr>
          <w:p>
            <w:pPr>
              <w:pStyle w:val="TableSmall"/>
              <w:jc w:val="left"/>
            </w:pPr>
            <w:r>
              <w:t xml:space="preserve">339</w:t>
            </w:r>
          </w:p>
        </w:tc>
        <w:tc>
          <w:tcPr>
            <w:tcW w:type="dxa" w:w="570"/>
          </w:tcPr>
          <w:p>
            <w:pPr>
              <w:pStyle w:val="TableSmall"/>
              <w:jc w:val="left"/>
            </w:pPr>
            <w:r>
              <w:t xml:space="preserve">347</w:t>
            </w:r>
          </w:p>
        </w:tc>
      </w:tr>
      <w:tr>
        <w:tc>
          <w:tcPr>
            <w:tcW w:type="dxa" w:w="1300"/>
          </w:tcPr>
          <w:p>
            <w:pPr>
              <w:pStyle w:val="TableSmall"/>
              <w:jc w:val="left"/>
            </w:pPr>
            <w:r>
              <w:t xml:space="preserve">Cray EX4252</w:t>
            </w:r>
          </w:p>
        </w:tc>
        <w:tc>
          <w:tcPr>
            <w:tcW w:type="dxa" w:w="899"/>
          </w:tcPr>
          <w:p>
            <w:pPr>
              <w:pStyle w:val="TableSmall"/>
              <w:jc w:val="left"/>
            </w:pPr>
            <w:r>
              <w:t xml:space="preserve">1.2.0</w:t>
            </w:r>
          </w:p>
        </w:tc>
        <w:tc>
          <w:tcPr>
            <w:tcW w:type="dxa" w:w="567"/>
          </w:tcPr>
          <w:p>
            <w:pPr>
              <w:pStyle w:val="TableSmall"/>
              <w:jc w:val="left"/>
            </w:pPr>
            <w:r>
              <w:t xml:space="preserve">1182</w:t>
            </w:r>
          </w:p>
        </w:tc>
        <w:tc>
          <w:tcPr>
            <w:tcW w:type="dxa" w:w="400"/>
          </w:tcPr>
          <w:p>
            <w:pPr>
              <w:pStyle w:val="TableSmall"/>
              <w:jc w:val="left"/>
            </w:pPr>
            <w:r>
              <w:t xml:space="preserve">6</w:t>
            </w:r>
          </w:p>
        </w:tc>
        <w:tc>
          <w:tcPr>
            <w:tcW w:type="dxa" w:w="567"/>
          </w:tcPr>
          <w:p>
            <w:pPr>
              <w:pStyle w:val="TableSmall"/>
              <w:jc w:val="left"/>
            </w:pPr>
            <w:r>
              <w:t xml:space="preserve">534</w:t>
            </w:r>
          </w:p>
        </w:tc>
        <w:tc>
          <w:tcPr>
            <w:tcW w:type="dxa" w:w="816"/>
          </w:tcPr>
          <w:p>
            <w:pPr>
              <w:pStyle w:val="TableSmall"/>
              <w:jc w:val="left"/>
            </w:pPr>
            <w:r>
              <w:t xml:space="preserve">0.58</w:t>
            </w:r>
          </w:p>
        </w:tc>
        <w:tc>
          <w:tcPr>
            <w:tcW w:type="dxa" w:w="816"/>
          </w:tcPr>
          <w:p>
            <w:pPr>
              <w:pStyle w:val="TableSmall"/>
              <w:jc w:val="left"/>
            </w:pPr>
            <w:r>
              <w:t xml:space="preserve">0.64</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1096</w:t>
            </w:r>
          </w:p>
        </w:tc>
        <w:tc>
          <w:tcPr>
            <w:tcW w:type="dxa" w:w="733"/>
          </w:tcPr>
          <w:p>
            <w:pPr>
              <w:pStyle w:val="TableSmall"/>
              <w:jc w:val="left"/>
            </w:pPr>
            <w:r>
              <w:t xml:space="preserve">931</w:t>
            </w:r>
          </w:p>
        </w:tc>
        <w:tc>
          <w:tcPr>
            <w:tcW w:type="dxa" w:w="570"/>
          </w:tcPr>
          <w:p>
            <w:pPr>
              <w:pStyle w:val="TableSmall"/>
              <w:jc w:val="left"/>
            </w:pPr>
            <w:r>
              <w:t xml:space="preserve">939</w:t>
            </w:r>
          </w:p>
        </w:tc>
      </w:tr>
      <w:tr>
        <w:tc>
          <w:tcPr>
            <w:tcW w:type="dxa" w:w="1300"/>
          </w:tcPr>
          <w:p>
            <w:pPr>
              <w:pStyle w:val="TableSmall"/>
              <w:jc w:val="left"/>
            </w:pPr>
            <w:r>
              <w:t xml:space="preserve">Gigabyte</w:t>
            </w:r>
          </w:p>
        </w:tc>
        <w:tc>
          <w:tcPr>
            <w:tcW w:type="dxa" w:w="899"/>
          </w:tcPr>
          <w:p>
            <w:pPr>
              <w:pStyle w:val="TableSmall"/>
              <w:jc w:val="left"/>
            </w:pPr>
            <w:r>
              <w:t xml:space="preserve">1.7.0</w:t>
            </w:r>
          </w:p>
        </w:tc>
        <w:tc>
          <w:tcPr>
            <w:tcW w:type="dxa" w:w="567"/>
          </w:tcPr>
          <w:p>
            <w:pPr>
              <w:pStyle w:val="TableSmall"/>
              <w:jc w:val="left"/>
            </w:pPr>
            <w:r>
              <w:t xml:space="preserve">231</w:t>
            </w:r>
          </w:p>
        </w:tc>
        <w:tc>
          <w:tcPr>
            <w:tcW w:type="dxa" w:w="400"/>
          </w:tcPr>
          <w:p>
            <w:pPr>
              <w:pStyle w:val="TableSmall"/>
              <w:jc w:val="left"/>
            </w:pPr>
            <w:r>
              <w:t xml:space="preserve">6</w:t>
            </w:r>
          </w:p>
        </w:tc>
        <w:tc>
          <w:tcPr>
            <w:tcW w:type="dxa" w:w="567"/>
          </w:tcPr>
          <w:p>
            <w:pPr>
              <w:pStyle w:val="TableSmall"/>
              <w:jc w:val="left"/>
            </w:pPr>
            <w:r>
              <w:t xml:space="preserve">45</w:t>
            </w:r>
          </w:p>
        </w:tc>
        <w:tc>
          <w:tcPr>
            <w:tcW w:type="dxa" w:w="816"/>
          </w:tcPr>
          <w:p>
            <w:pPr>
              <w:pStyle w:val="TableSmall"/>
              <w:jc w:val="left"/>
            </w:pPr>
            <w:r>
              <w:t xml:space="preserve">0.98</w:t>
            </w:r>
          </w:p>
        </w:tc>
        <w:tc>
          <w:tcPr>
            <w:tcW w:type="dxa" w:w="816"/>
          </w:tcPr>
          <w:p>
            <w:pPr>
              <w:pStyle w:val="TableSmall"/>
              <w:jc w:val="left"/>
            </w:pPr>
            <w:r>
              <w:t xml:space="preserve">0.49</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182</w:t>
            </w:r>
          </w:p>
        </w:tc>
        <w:tc>
          <w:tcPr>
            <w:tcW w:type="dxa" w:w="733"/>
          </w:tcPr>
          <w:p>
            <w:pPr>
              <w:pStyle w:val="TableSmall"/>
              <w:jc w:val="left"/>
            </w:pPr>
            <w:r>
              <w:t xml:space="preserve">40</w:t>
            </w:r>
          </w:p>
        </w:tc>
        <w:tc>
          <w:tcPr>
            <w:tcW w:type="dxa" w:w="570"/>
          </w:tcPr>
          <w:p>
            <w:pPr>
              <w:pStyle w:val="TableSmall"/>
              <w:jc w:val="left"/>
            </w:pPr>
            <w:r>
              <w:t xml:space="preserve">56</w:t>
            </w:r>
          </w:p>
        </w:tc>
      </w:tr>
      <w:tr>
        <w:tc>
          <w:tcPr>
            <w:tcW w:type="dxa" w:w="1300"/>
          </w:tcPr>
          <w:p>
            <w:pPr>
              <w:pStyle w:val="TableSmall"/>
              <w:jc w:val="left"/>
            </w:pPr>
            <w:r>
              <w:t xml:space="preserve">Intel</w:t>
            </w:r>
          </w:p>
        </w:tc>
        <w:tc>
          <w:tcPr>
            <w:tcW w:type="dxa" w:w="899"/>
          </w:tcPr>
          <w:p>
            <w:pPr>
              <w:pStyle w:val="TableSmall"/>
              <w:jc w:val="left"/>
            </w:pPr>
            <w:r>
              <w:t xml:space="preserve">1.1.0</w:t>
            </w:r>
          </w:p>
        </w:tc>
        <w:tc>
          <w:tcPr>
            <w:tcW w:type="dxa" w:w="567"/>
          </w:tcPr>
          <w:p>
            <w:pPr>
              <w:pStyle w:val="TableSmall"/>
              <w:jc w:val="left"/>
            </w:pPr>
            <w:r>
              <w:t xml:space="preserve">98</w:t>
            </w:r>
          </w:p>
        </w:tc>
        <w:tc>
          <w:tcPr>
            <w:tcW w:type="dxa" w:w="400"/>
          </w:tcPr>
          <w:p>
            <w:pPr>
              <w:pStyle w:val="TableSmall"/>
              <w:jc w:val="left"/>
            </w:pPr>
            <w:r>
              <w:t xml:space="preserve">6</w:t>
            </w:r>
          </w:p>
        </w:tc>
        <w:tc>
          <w:tcPr>
            <w:tcW w:type="dxa" w:w="567"/>
          </w:tcPr>
          <w:p>
            <w:pPr>
              <w:pStyle w:val="TableSmall"/>
              <w:jc w:val="left"/>
            </w:pPr>
            <w:r>
              <w:t xml:space="preserve">44</w:t>
            </w:r>
          </w:p>
        </w:tc>
        <w:tc>
          <w:tcPr>
            <w:tcW w:type="dxa" w:w="816"/>
          </w:tcPr>
          <w:p>
            <w:pPr>
              <w:pStyle w:val="TableSmall"/>
              <w:jc w:val="left"/>
            </w:pPr>
            <w:r>
              <w:t xml:space="preserve">1.00</w:t>
            </w:r>
          </w:p>
        </w:tc>
        <w:tc>
          <w:tcPr>
            <w:tcW w:type="dxa" w:w="816"/>
          </w:tcPr>
          <w:p>
            <w:pPr>
              <w:pStyle w:val="TableSmall"/>
              <w:jc w:val="left"/>
            </w:pPr>
            <w:r>
              <w:t xml:space="preserve">0.18</w:t>
            </w:r>
          </w:p>
        </w:tc>
        <w:tc>
          <w:tcPr>
            <w:tcW w:type="dxa" w:w="733"/>
          </w:tcPr>
          <w:p>
            <w:pPr>
              <w:pStyle w:val="TableSmall"/>
              <w:jc w:val="left"/>
            </w:pPr>
            <w:r>
              <w:t xml:space="preserve">1.00</w:t>
            </w:r>
          </w:p>
        </w:tc>
        <w:tc>
          <w:tcPr>
            <w:tcW w:type="dxa" w:w="567"/>
          </w:tcPr>
          <w:p>
            <w:pPr>
              <w:pStyle w:val="TableSmall"/>
              <w:jc w:val="left"/>
            </w:pPr>
            <w:r>
              <w:t xml:space="preserve">1.00</w:t>
            </w:r>
          </w:p>
        </w:tc>
        <w:tc>
          <w:tcPr>
            <w:tcW w:type="dxa" w:w="650"/>
          </w:tcPr>
          <w:p>
            <w:pPr>
              <w:pStyle w:val="TableSmall"/>
              <w:jc w:val="left"/>
            </w:pPr>
            <w:r>
              <w:t xml:space="preserve">78</w:t>
            </w:r>
          </w:p>
        </w:tc>
        <w:tc>
          <w:tcPr>
            <w:tcW w:type="dxa" w:w="733"/>
          </w:tcPr>
          <w:p>
            <w:pPr>
              <w:pStyle w:val="TableSmall"/>
              <w:jc w:val="left"/>
            </w:pPr>
            <w:r>
              <w:t xml:space="preserve">27</w:t>
            </w:r>
          </w:p>
        </w:tc>
        <w:tc>
          <w:tcPr>
            <w:tcW w:type="dxa" w:w="570"/>
          </w:tcPr>
          <w:p>
            <w:pPr>
              <w:pStyle w:val="TableSmall"/>
              <w:jc w:val="left"/>
            </w:pPr>
            <w:r>
              <w:t xml:space="preserve">27</w:t>
            </w:r>
          </w:p>
        </w:tc>
      </w:tr>
      <w:tr>
        <w:tc>
          <w:tcPr>
            <w:tcW w:type="dxa" w:w="1300"/>
          </w:tcPr>
          <w:p>
            <w:pPr>
              <w:pStyle w:val="TableSmall"/>
              <w:jc w:val="left"/>
            </w:pPr>
            <w:r>
              <w:t xml:space="preserve">Total / micro-average</w:t>
            </w:r>
          </w:p>
        </w:tc>
        <w:tc>
          <w:tcPr>
            <w:tcW w:type="dxa" w:w="899"/>
          </w:tcPr>
          <w:p>
            <w:pPr>
              <w:pStyle w:val="TableSmall"/>
            </w:pPr>
          </w:p>
        </w:tc>
        <w:tc>
          <w:tcPr>
            <w:tcW w:type="dxa" w:w="567"/>
          </w:tcPr>
          <w:p>
            <w:pPr>
              <w:pStyle w:val="TableSmall"/>
            </w:pPr>
          </w:p>
        </w:tc>
        <w:tc>
          <w:tcPr>
            <w:tcW w:type="dxa" w:w="400"/>
          </w:tcPr>
          <w:p>
            <w:pPr>
              <w:pStyle w:val="TableSmall"/>
            </w:pPr>
          </w:p>
        </w:tc>
        <w:tc>
          <w:tcPr>
            <w:tcW w:type="dxa" w:w="567"/>
          </w:tcPr>
          <w:p>
            <w:pPr>
              <w:pStyle w:val="TableSmall"/>
              <w:jc w:val="left"/>
            </w:pPr>
            <w:r>
              <w:t xml:space="preserve">2248</w:t>
            </w:r>
          </w:p>
        </w:tc>
        <w:tc>
          <w:tcPr>
            <w:tcW w:type="dxa" w:w="816"/>
          </w:tcPr>
          <w:p>
            <w:pPr>
              <w:pStyle w:val="TableSmall"/>
              <w:jc w:val="left"/>
            </w:pPr>
            <w:r>
              <w:t xml:space="preserve">0.78</w:t>
            </w:r>
          </w:p>
        </w:tc>
        <w:tc>
          <w:tcPr>
            <w:tcW w:type="dxa" w:w="816"/>
          </w:tcPr>
          <w:p>
            <w:pPr>
              <w:pStyle w:val="TableSmall"/>
              <w:jc w:val="left"/>
            </w:pPr>
            <w:r>
              <w:t xml:space="preserve">0.49</w:t>
            </w:r>
          </w:p>
        </w:tc>
        <w:tc>
          <w:tcPr>
            <w:tcW w:type="dxa" w:w="733"/>
          </w:tcPr>
          <w:p>
            <w:pPr>
              <w:pStyle w:val="TableSmall"/>
              <w:jc w:val="left"/>
            </w:pPr>
            <w:r>
              <w:t xml:space="preserve">0.99</w:t>
            </w:r>
          </w:p>
        </w:tc>
        <w:tc>
          <w:tcPr>
            <w:tcW w:type="dxa" w:w="567"/>
          </w:tcPr>
          <w:p>
            <w:pPr>
              <w:pStyle w:val="TableSmall"/>
              <w:jc w:val="left"/>
            </w:pPr>
            <w:r>
              <w:t xml:space="preserve">1.00</w:t>
            </w:r>
          </w:p>
        </w:tc>
        <w:tc>
          <w:tcPr>
            <w:tcW w:type="dxa" w:w="650"/>
          </w:tcPr>
          <w:p>
            <w:pPr>
              <w:pStyle w:val="TableSmall"/>
              <w:jc w:val="left"/>
            </w:pPr>
            <w:r>
              <w:t xml:space="preserve">13594</w:t>
            </w:r>
          </w:p>
        </w:tc>
        <w:tc>
          <w:tcPr>
            <w:tcW w:type="dxa" w:w="733"/>
          </w:tcPr>
          <w:p>
            <w:pPr>
              <w:pStyle w:val="TableSmall"/>
              <w:jc w:val="left"/>
            </w:pPr>
            <w:r>
              <w:t xml:space="preserve">2836</w:t>
            </w:r>
          </w:p>
        </w:tc>
        <w:tc>
          <w:tcPr>
            <w:tcW w:type="dxa" w:w="570"/>
          </w:tcPr>
          <w:p>
            <w:pPr>
              <w:pStyle w:val="TableSmall"/>
              <w:jc w:val="left"/>
            </w:pPr>
            <w:r>
              <w:t xml:space="preserve">3478</w:t>
            </w:r>
          </w:p>
        </w:tc>
      </w:tr>
    </w:tbl>
    <w:bookmarkEnd w:id="68"/>
    <w:bookmarkEnd w:id="69"/>
    <w:bookmarkStart w:id="73" w:name="Xec9debbdeebd0a2f53df6b776132998b499b457"/>
    <w:p>
      <w:pPr>
        <w:pStyle w:val="Heading2"/>
      </w:pPr>
      <w:r>
        <w:t xml:space="preserve">7.2 RQ1: Heterogeneity and Hard-Coded Navigation</w:t>
      </w:r>
    </w:p>
    <w:p>
      <w:pPr>
        <w:pStyle w:val="FirstParagraph"/>
      </w:pPr>
      <w:r>
        <w:t xml:space="preserve">Figure 7.1 shows, for every service, the property paths</w:t>
      </w:r>
      <w:r>
        <w:t xml:space="preserve"> </w:t>
      </w:r>
      <w:r>
        <w:t xml:space="preserve">through which Tree-BFS first reached the storage, power, thermal and network</w:t>
      </w:r>
      <w:r>
        <w:t xml:space="preserve"> </w:t>
      </w:r>
      <w:r>
        <w:t xml:space="preserve">components (collection members generalised to</w:t>
      </w:r>
      <w:r>
        <w:t xml:space="preserve"> </w:t>
      </w:r>
      <w:r>
        <w:rPr>
          <w:rStyle w:val="VerbatimChar"/>
        </w:rPr>
        <w:t xml:space="preserve">{id}</w:t>
      </w:r>
      <w:r>
        <w:t xml:space="preserve">, embedded array</w:t>
      </w:r>
      <w:r>
        <w:t xml:space="preserve"> </w:t>
      </w:r>
      <w:r>
        <w:t xml:space="preserve">elements to</w:t>
      </w:r>
      <w:r>
        <w:t xml:space="preserve"> </w:t>
      </w:r>
      <w:r>
        <w:rPr>
          <w:rStyle w:val="VerbatimChar"/>
        </w:rPr>
        <w:t xml:space="preserve">#</w:t>
      </w:r>
      <w:r>
        <w:t xml:space="preserve">). Processors and memory are found under two templates</w:t>
      </w:r>
      <w:r>
        <w:t xml:space="preserve"> </w:t>
      </w:r>
      <w:r>
        <w:t xml:space="preserve">each, power under two, network under three, thermal under four and storage</w:t>
      </w:r>
      <w:r>
        <w:t xml:space="preserve"> </w:t>
      </w:r>
      <w:r>
        <w:t xml:space="preserve">under five. Storage is the most diverse: drives are embedded</w:t>
      </w:r>
      <w:r>
        <w:t xml:space="preserve"> </w:t>
      </w:r>
      <w:r>
        <w:rPr>
          <w:rStyle w:val="VerbatimChar"/>
        </w:rPr>
        <w:t xml:space="preserve">Devices</w:t>
      </w:r>
      <w:r>
        <w:t xml:space="preserve"> </w:t>
      </w:r>
      <w:r>
        <w:t xml:space="preserve">of</w:t>
      </w:r>
      <w:r>
        <w:t xml:space="preserve"> </w:t>
      </w:r>
      <w:r>
        <w:rPr>
          <w:rStyle w:val="VerbatimChar"/>
        </w:rPr>
        <w:t xml:space="preserve">SimpleStorage</w:t>
      </w:r>
      <w:r>
        <w:t xml:space="preserve"> </w:t>
      </w:r>
      <w:r>
        <w:t xml:space="preserve">on all Dell and most DMTF services, members of</w:t>
      </w:r>
      <w:r>
        <w:t xml:space="preserve"> </w:t>
      </w:r>
      <w:r>
        <w:rPr>
          <w:rStyle w:val="VerbatimChar"/>
        </w:rPr>
        <w:t xml:space="preserve">Chassis/{id}/Drives</w:t>
      </w:r>
      <w:r>
        <w:t xml:space="preserve"> </w:t>
      </w:r>
      <w:r>
        <w:t xml:space="preserve">on six of the seven HPE iLO services, members of</w:t>
      </w:r>
      <w:r>
        <w:t xml:space="preserve"> </w:t>
      </w:r>
      <w:r>
        <w:rPr>
          <w:rStyle w:val="VerbatimChar"/>
        </w:rPr>
        <w:t xml:space="preserve">Storage/{id}/Drives</w:t>
      </w:r>
      <w:r>
        <w:t xml:space="preserve"> </w:t>
      </w:r>
      <w:r>
        <w:t xml:space="preserve">on the DMTF tower, the HPE DL380a Gen12 and the HPE</w:t>
      </w:r>
      <w:r>
        <w:t xml:space="preserve"> </w:t>
      </w:r>
      <w:r>
        <w:t xml:space="preserve">XL675d A100, and first reached through</w:t>
      </w:r>
      <w:r>
        <w:t xml:space="preserve"> </w:t>
      </w:r>
      <w:r>
        <w:rPr>
          <w:rStyle w:val="VerbatimChar"/>
        </w:rPr>
        <w:t xml:space="preserve">CompositionService/ResourceBlocks</w:t>
      </w:r>
      <w:r>
        <w:t xml:space="preserve"> </w:t>
      </w:r>
      <w:r>
        <w:t xml:space="preserve">on the Gigabyte server. The deprecation of</w:t>
      </w:r>
      <w:r>
        <w:t xml:space="preserve"> </w:t>
      </w:r>
      <w:r>
        <w:rPr>
          <w:rStyle w:val="VerbatimChar"/>
        </w:rPr>
        <w:t xml:space="preserve">Power</w:t>
      </w:r>
      <w:r>
        <w:t xml:space="preserve"> </w:t>
      </w:r>
      <w:r>
        <w:t xml:space="preserve">and</w:t>
      </w:r>
      <w:r>
        <w:t xml:space="preserve"> </w:t>
      </w:r>
      <w:r>
        <w:rPr>
          <w:rStyle w:val="VerbatimChar"/>
        </w:rPr>
        <w:t xml:space="preserve">Thermal</w:t>
      </w:r>
      <w:r>
        <w:t xml:space="preserve"> </w:t>
      </w:r>
      <w:r>
        <w:t xml:space="preserve">splits</w:t>
      </w:r>
      <w:r>
        <w:t xml:space="preserve"> </w:t>
      </w:r>
      <w:r>
        <w:t xml:space="preserve">the services into groups: the Dell, Intel, Gigabyte and most HPE services use</w:t>
      </w:r>
      <w:r>
        <w:t xml:space="preserve"> </w:t>
      </w:r>
      <w:r>
        <w:t xml:space="preserve">only the legacy embedded arrays for power supplies; the DMTF reference services,</w:t>
      </w:r>
      <w:r>
        <w:t xml:space="preserve"> </w:t>
      </w:r>
      <w:r>
        <w:t xml:space="preserve">four HPE iLO 6/7 services and the Cray blades additionally or exclusively expose</w:t>
      </w:r>
      <w:r>
        <w:t xml:space="preserve"> </w:t>
      </w:r>
      <w:r>
        <w:rPr>
          <w:rStyle w:val="VerbatimChar"/>
        </w:rPr>
        <w:t xml:space="preserve">PowerSubsystem</w:t>
      </w:r>
      <w:r>
        <w:t xml:space="preserve">,</w:t>
      </w:r>
      <w:r>
        <w:t xml:space="preserve"> </w:t>
      </w:r>
      <w:r>
        <w:rPr>
          <w:rStyle w:val="VerbatimChar"/>
        </w:rPr>
        <w:t xml:space="preserve">ThermalSubsystem</w:t>
      </w:r>
      <w:r>
        <w:t xml:space="preserve"> </w:t>
      </w:r>
      <w:r>
        <w:t xml:space="preserve">or</w:t>
      </w:r>
      <w:r>
        <w:t xml:space="preserve"> </w:t>
      </w:r>
      <w:r>
        <w:rPr>
          <w:rStyle w:val="VerbatimChar"/>
        </w:rPr>
        <w:t xml:space="preserve">Sensors</w:t>
      </w:r>
      <w:r>
        <w:t xml:space="preserve">.</w:t>
      </w:r>
    </w:p>
    <w:p>
      <w:pPr>
        <w:pStyle w:val="CaptionedFigure"/>
      </w:pPr>
      <w:r>
        <w:drawing>
          <wp:inline>
            <wp:extent cx="5334000" cy="2744080"/>
            <wp:effectExtent b="0" l="0" r="0" t="0"/>
            <wp:docPr descr="Figure 7.1: Where monitored components live. Rows are property-path templates (occurring in at least two services), columns are services; a filled cell means the service exposes components of that category under that template." title="" id="1" name="Picture"/>
            <a:graphic>
              <a:graphicData uri="http://schemas.openxmlformats.org/drawingml/2006/picture">
                <pic:pic>
                  <pic:nvPicPr>
                    <pic:cNvPr descr="img/placement_heatmap.png" id="0" name="Picture"/>
                    <pic:cNvPicPr>
                      <a:picLocks noChangeArrowheads="1" noChangeAspect="1"/>
                    </pic:cNvPicPr>
                  </pic:nvPicPr>
                  <pic:blipFill>
                    <a:blip r:embed="rId70"/>
                    <a:stretch>
                      <a:fillRect/>
                    </a:stretch>
                  </pic:blipFill>
                  <pic:spPr bwMode="auto">
                    <a:xfrm>
                      <a:off x="0" y="0"/>
                      <a:ext cx="5334000" cy="2744080"/>
                    </a:xfrm>
                    <a:prstGeom prst="rect">
                      <a:avLst/>
                    </a:prstGeom>
                    <a:noFill/>
                    <a:ln w="9525">
                      <a:noFill/>
                      <a:headEnd/>
                      <a:tailEnd/>
                    </a:ln>
                  </pic:spPr>
                </pic:pic>
              </a:graphicData>
            </a:graphic>
          </wp:inline>
        </w:drawing>
      </w:r>
    </w:p>
    <w:p>
      <w:pPr>
        <w:pStyle w:val="ImageCaption"/>
      </w:pPr>
      <w:r>
        <w:t xml:space="preserve">Figure 7.1: Where monitored components live.</w:t>
      </w:r>
      <w:r>
        <w:t xml:space="preserve"> </w:t>
      </w:r>
      <w:r>
        <w:t xml:space="preserve">Rows are property-path templates (occurring in at least two services), columns</w:t>
      </w:r>
      <w:r>
        <w:t xml:space="preserve"> </w:t>
      </w:r>
      <w:r>
        <w:t xml:space="preserve">are services; a filled cell means the service exposes components of that</w:t>
      </w:r>
      <w:r>
        <w:t xml:space="preserve"> </w:t>
      </w:r>
      <w:r>
        <w:t xml:space="preserve">category under that template.</w:t>
      </w:r>
    </w:p>
    <w:p>
      <w:pPr>
        <w:pStyle w:val="BodyText"/>
      </w:pPr>
      <w:r>
        <w:t xml:space="preserve">The consequences for hard-coded navigation are shown in</w:t>
      </w:r>
      <w:r>
        <w:t xml:space="preserve"> </w:t>
      </w:r>
      <w:r>
        <w:t xml:space="preserve">Figures 7.2 and 7.3 and Table 7.2.</w:t>
      </w:r>
      <w:r>
        <w:t xml:space="preserve"> </w:t>
      </w:r>
      <w:r>
        <w:t xml:space="preserve">Static-legacy reaches a micro-averaged recall of 0.785 and is complete on</w:t>
      </w:r>
      <w:r>
        <w:t xml:space="preserve"> </w:t>
      </w:r>
      <w:r>
        <w:t xml:space="preserve">only 8 of 26 services, all of them Dell, DMTF-bladed, older HPE or Intel.</w:t>
      </w:r>
      <w:r>
        <w:t xml:space="preserve"> </w:t>
      </w:r>
      <w:r>
        <w:t xml:space="preserve">Static-modern, which is what a developer would write from the current schema</w:t>
      </w:r>
      <w:r>
        <w:t xml:space="preserve"> </w:t>
      </w:r>
      <w:r>
        <w:t xml:space="preserve">documentation, reaches only 0.490 and is complete on</w:t>
      </w:r>
      <w:r>
        <w:t xml:space="preserve"> </w:t>
      </w:r>
      <w:r>
        <w:rPr>
          <w:iCs/>
          <w:i/>
        </w:rPr>
        <w:t xml:space="preserve">none</w:t>
      </w:r>
      <w:r>
        <w:t xml:space="preserve"> </w:t>
      </w:r>
      <w:r>
        <w:t xml:space="preserve">of the</w:t>
      </w:r>
      <w:r>
        <w:t xml:space="preserve"> </w:t>
      </w:r>
      <w:r>
        <w:t xml:space="preserve">services: its power recall is 0.23 and its thermal recall 0.26, because</w:t>
      </w:r>
      <w:r>
        <w:t xml:space="preserve"> </w:t>
      </w:r>
      <w:r>
        <w:t xml:space="preserve">most services in the field still use the embedded legacy arrays. The union of</w:t>
      </w:r>
      <w:r>
        <w:t xml:space="preserve"> </w:t>
      </w:r>
      <w:r>
        <w:t xml:space="preserve">both recipe sets reaches 0.990 and is complete on 22 services. It still</w:t>
      </w:r>
      <w:r>
        <w:t xml:space="preserve"> </w:t>
      </w:r>
      <w:r>
        <w:t xml:space="preserve">misses 6 of 8 drives on the HPE DL360 and DL365 and 8 of 14 on the DL380a</w:t>
      </w:r>
      <w:r>
        <w:t xml:space="preserve"> </w:t>
      </w:r>
      <w:r>
        <w:t xml:space="preserve">Gen12, because these drives are linked only from</w:t>
      </w:r>
      <w:r>
        <w:t xml:space="preserve"> </w:t>
      </w:r>
      <w:r>
        <w:rPr>
          <w:rStyle w:val="VerbatimChar"/>
        </w:rPr>
        <w:t xml:space="preserve">Chassis/{id}/Drives</w:t>
      </w:r>
      <w:r>
        <w:t xml:space="preserve">,</w:t>
      </w:r>
      <w:r>
        <w:t xml:space="preserve"> </w:t>
      </w:r>
      <w:r>
        <w:t xml:space="preserve">a location that neither recipe set visits, so its storage recall is 0.815. These are exactly the</w:t>
      </w:r>
      <w:r>
        <w:t xml:space="preserve"> </w:t>
      </w:r>
      <w:r>
        <w:t xml:space="preserve">failures that the author’s tool experienced in practice. Each of them was</w:t>
      </w:r>
      <w:r>
        <w:t xml:space="preserve"> </w:t>
      </w:r>
      <w:r>
        <w:t xml:space="preserve">silent, and each would have required another vendor-specific path to fix.</w:t>
      </w:r>
    </w:p>
    <w:p>
      <w:pPr>
        <w:pStyle w:val="CaptionedFigure"/>
      </w:pPr>
      <w:r>
        <w:drawing>
          <wp:inline>
            <wp:extent cx="5334000" cy="2599969"/>
            <wp:effectExtent b="0" l="0" r="0" t="0"/>
            <wp:docPr descr="Figure 7.2: Micro-averaged recall per vendor family (n = number of services)." title="" id="1" name="Picture"/>
            <a:graphic>
              <a:graphicData uri="http://schemas.openxmlformats.org/drawingml/2006/picture">
                <pic:pic>
                  <pic:nvPicPr>
                    <pic:cNvPr descr="img/recall_by_vendor.png" id="0" name="Picture"/>
                    <pic:cNvPicPr>
                      <a:picLocks noChangeArrowheads="1" noChangeAspect="1"/>
                    </pic:cNvPicPr>
                  </pic:nvPicPr>
                  <pic:blipFill>
                    <a:blip r:embed="rId71"/>
                    <a:stretch>
                      <a:fillRect/>
                    </a:stretch>
                  </pic:blipFill>
                  <pic:spPr bwMode="auto">
                    <a:xfrm>
                      <a:off x="0" y="0"/>
                      <a:ext cx="5334000" cy="2599969"/>
                    </a:xfrm>
                    <a:prstGeom prst="rect">
                      <a:avLst/>
                    </a:prstGeom>
                    <a:noFill/>
                    <a:ln w="9525">
                      <a:noFill/>
                      <a:headEnd/>
                      <a:tailEnd/>
                    </a:ln>
                  </pic:spPr>
                </pic:pic>
              </a:graphicData>
            </a:graphic>
          </wp:inline>
        </w:drawing>
      </w:r>
    </w:p>
    <w:p>
      <w:pPr>
        <w:pStyle w:val="ImageCaption"/>
      </w:pPr>
      <w:r>
        <w:t xml:space="preserve">Figure 7.2: Micro-averaged recall per vendor family (</w:t>
      </w:r>
      <m:oMath>
        <m:r>
          <m:t>n</m:t>
        </m:r>
      </m:oMath>
      <w:r>
        <w:t xml:space="preserve"> </w:t>
      </w:r>
      <w:r>
        <w:t xml:space="preserve">= number of services).</w:t>
      </w:r>
    </w:p>
    <w:p>
      <w:pPr>
        <w:pStyle w:val="CaptionedFigure"/>
      </w:pPr>
      <w:r>
        <w:drawing>
          <wp:inline>
            <wp:extent cx="5106443" cy="2588712"/>
            <wp:effectExtent b="0" l="0" r="0" t="0"/>
            <wp:docPr descr="Figure 7.3: Micro-averaged recall per component category." title="" id="1" name="Picture"/>
            <a:graphic>
              <a:graphicData uri="http://schemas.openxmlformats.org/drawingml/2006/picture">
                <pic:pic>
                  <pic:nvPicPr>
                    <pic:cNvPr descr="img/recall_by_category.png" id="0" name="Picture"/>
                    <pic:cNvPicPr>
                      <a:picLocks noChangeArrowheads="1" noChangeAspect="1"/>
                    </pic:cNvPicPr>
                  </pic:nvPicPr>
                  <pic:blipFill>
                    <a:blip r:embed="rId72"/>
                    <a:stretch>
                      <a:fillRect/>
                    </a:stretch>
                  </pic:blipFill>
                  <pic:spPr bwMode="auto">
                    <a:xfrm>
                      <a:off x="0" y="0"/>
                      <a:ext cx="5106443" cy="2588712"/>
                    </a:xfrm>
                    <a:prstGeom prst="rect">
                      <a:avLst/>
                    </a:prstGeom>
                    <a:noFill/>
                    <a:ln w="9525">
                      <a:noFill/>
                      <a:headEnd/>
                      <a:tailEnd/>
                    </a:ln>
                  </pic:spPr>
                </pic:pic>
              </a:graphicData>
            </a:graphic>
          </wp:inline>
        </w:drawing>
      </w:r>
    </w:p>
    <w:p>
      <w:pPr>
        <w:pStyle w:val="ImageCaption"/>
      </w:pPr>
      <w:r>
        <w:t xml:space="preserve">Figure 7.3: Micro-averaged recall per component category.</w:t>
      </w:r>
    </w:p>
    <w:p>
      <w:pPr>
        <w:pStyle w:val="TableCaption"/>
      </w:pPr>
      <w:r>
        <w:t xml:space="preserve">Table 7.2: Micro-averaged recall per category and overall.</w:t>
      </w:r>
    </w:p>
    <w:tbl>
      <w:tblPr>
        <w:tblStyle w:val="Table"/>
        <w:tblW w:type="dxa" w:w="8618"/>
        <w:jc w:val="center"/>
        <w:tblLook w:firstRow="1" w:lastRow="0" w:firstColumn="0" w:lastColumn="0" w:noHBand="0" w:noVBand="0" w:val="0020"/>
        <w:tblCaption w:val="Table 7.2: Micro-averaged recall per category and overall."/>
      </w:tblPr>
      <w:tblGrid>
        <w:gridCol w:w="1556"/>
        <w:gridCol w:w="1261"/>
        <w:gridCol w:w="966"/>
        <w:gridCol w:w="1064"/>
        <w:gridCol w:w="1064"/>
        <w:gridCol w:w="868"/>
        <w:gridCol w:w="1064"/>
        <w:gridCol w:w="775"/>
      </w:tblGrid>
      <w:tr>
        <w:trPr>
          <w:tblHeader w:val="true"/>
        </w:trPr>
        <w:tc>
          <w:tcPr>
            <w:tcW w:type="dxa" w:w="1556"/>
          </w:tcPr>
          <w:p>
            <w:pPr>
              <w:pStyle w:val="TableSmall"/>
              <w:jc w:val="left"/>
            </w:pPr>
            <w:r>
              <w:t xml:space="preserve">Strategy</w:t>
            </w:r>
          </w:p>
        </w:tc>
        <w:tc>
          <w:tcPr>
            <w:tcW w:type="dxa" w:w="1261"/>
          </w:tcPr>
          <w:p>
            <w:pPr>
              <w:pStyle w:val="TableSmall"/>
              <w:jc w:val="left"/>
            </w:pPr>
            <w:r>
              <w:t xml:space="preserve">Processor</w:t>
            </w:r>
          </w:p>
        </w:tc>
        <w:tc>
          <w:tcPr>
            <w:tcW w:type="dxa" w:w="966"/>
          </w:tcPr>
          <w:p>
            <w:pPr>
              <w:pStyle w:val="TableSmall"/>
              <w:jc w:val="left"/>
            </w:pPr>
            <w:r>
              <w:t xml:space="preserve">Memory</w:t>
            </w:r>
          </w:p>
        </w:tc>
        <w:tc>
          <w:tcPr>
            <w:tcW w:type="dxa" w:w="1064"/>
          </w:tcPr>
          <w:p>
            <w:pPr>
              <w:pStyle w:val="TableSmall"/>
              <w:jc w:val="left"/>
            </w:pPr>
            <w:r>
              <w:t xml:space="preserve">Storage</w:t>
            </w:r>
          </w:p>
        </w:tc>
        <w:tc>
          <w:tcPr>
            <w:tcW w:type="dxa" w:w="1064"/>
          </w:tcPr>
          <w:p>
            <w:pPr>
              <w:pStyle w:val="TableSmall"/>
              <w:jc w:val="left"/>
            </w:pPr>
            <w:r>
              <w:t xml:space="preserve">Network</w:t>
            </w:r>
          </w:p>
        </w:tc>
        <w:tc>
          <w:tcPr>
            <w:tcW w:type="dxa" w:w="868"/>
          </w:tcPr>
          <w:p>
            <w:pPr>
              <w:pStyle w:val="TableSmall"/>
              <w:jc w:val="left"/>
            </w:pPr>
            <w:r>
              <w:t xml:space="preserve">Power</w:t>
            </w:r>
          </w:p>
        </w:tc>
        <w:tc>
          <w:tcPr>
            <w:tcW w:type="dxa" w:w="1064"/>
          </w:tcPr>
          <w:p>
            <w:pPr>
              <w:pStyle w:val="TableSmall"/>
              <w:jc w:val="left"/>
            </w:pPr>
            <w:r>
              <w:t xml:space="preserve">Thermal</w:t>
            </w:r>
          </w:p>
        </w:tc>
        <w:tc>
          <w:tcPr>
            <w:tcW w:type="dxa" w:w="775"/>
          </w:tcPr>
          <w:p>
            <w:pPr>
              <w:pStyle w:val="TableSmall"/>
              <w:jc w:val="left"/>
            </w:pPr>
            <w:r>
              <w:t xml:space="preserve">All</w:t>
            </w:r>
          </w:p>
        </w:tc>
      </w:tr>
      <w:tr>
        <w:tc>
          <w:tcPr>
            <w:tcW w:type="dxa" w:w="1556"/>
          </w:tcPr>
          <w:p>
            <w:pPr>
              <w:pStyle w:val="TableSmall"/>
              <w:jc w:val="left"/>
            </w:pPr>
            <w:r>
              <w:t xml:space="preserve">Static-legacy</w:t>
            </w:r>
          </w:p>
        </w:tc>
        <w:tc>
          <w:tcPr>
            <w:tcW w:type="dxa" w:w="1261"/>
          </w:tcPr>
          <w:p>
            <w:pPr>
              <w:pStyle w:val="TableSmall"/>
              <w:jc w:val="left"/>
            </w:pPr>
            <w:r>
              <w:t xml:space="preserve">0.988</w:t>
            </w:r>
          </w:p>
        </w:tc>
        <w:tc>
          <w:tcPr>
            <w:tcW w:type="dxa" w:w="966"/>
          </w:tcPr>
          <w:p>
            <w:pPr>
              <w:pStyle w:val="TableSmall"/>
              <w:jc w:val="left"/>
            </w:pPr>
            <w:r>
              <w:t xml:space="preserve">1.000</w:t>
            </w:r>
          </w:p>
        </w:tc>
        <w:tc>
          <w:tcPr>
            <w:tcW w:type="dxa" w:w="1064"/>
          </w:tcPr>
          <w:p>
            <w:pPr>
              <w:pStyle w:val="TableSmall"/>
              <w:jc w:val="left"/>
            </w:pPr>
            <w:r>
              <w:t xml:space="preserve">0.370</w:t>
            </w:r>
          </w:p>
        </w:tc>
        <w:tc>
          <w:tcPr>
            <w:tcW w:type="dxa" w:w="1064"/>
          </w:tcPr>
          <w:p>
            <w:pPr>
              <w:pStyle w:val="TableSmall"/>
              <w:jc w:val="left"/>
            </w:pPr>
            <w:r>
              <w:t xml:space="preserve">0.761</w:t>
            </w:r>
          </w:p>
        </w:tc>
        <w:tc>
          <w:tcPr>
            <w:tcW w:type="dxa" w:w="868"/>
          </w:tcPr>
          <w:p>
            <w:pPr>
              <w:pStyle w:val="TableSmall"/>
              <w:jc w:val="left"/>
            </w:pPr>
            <w:r>
              <w:t xml:space="preserve">0.771</w:t>
            </w:r>
          </w:p>
        </w:tc>
        <w:tc>
          <w:tcPr>
            <w:tcW w:type="dxa" w:w="1064"/>
          </w:tcPr>
          <w:p>
            <w:pPr>
              <w:pStyle w:val="TableSmall"/>
              <w:jc w:val="left"/>
            </w:pPr>
            <w:r>
              <w:t xml:space="preserve">0.737</w:t>
            </w:r>
          </w:p>
        </w:tc>
        <w:tc>
          <w:tcPr>
            <w:tcW w:type="dxa" w:w="775"/>
          </w:tcPr>
          <w:p>
            <w:pPr>
              <w:pStyle w:val="TableSmall"/>
              <w:jc w:val="left"/>
            </w:pPr>
            <w:r>
              <w:t xml:space="preserve">0.785</w:t>
            </w:r>
          </w:p>
        </w:tc>
      </w:tr>
      <w:tr>
        <w:tc>
          <w:tcPr>
            <w:tcW w:type="dxa" w:w="1556"/>
          </w:tcPr>
          <w:p>
            <w:pPr>
              <w:pStyle w:val="TableSmall"/>
              <w:jc w:val="left"/>
            </w:pPr>
            <w:r>
              <w:t xml:space="preserve">Static-modern</w:t>
            </w:r>
          </w:p>
        </w:tc>
        <w:tc>
          <w:tcPr>
            <w:tcW w:type="dxa" w:w="1261"/>
          </w:tcPr>
          <w:p>
            <w:pPr>
              <w:pStyle w:val="TableSmall"/>
              <w:jc w:val="left"/>
            </w:pPr>
            <w:r>
              <w:t xml:space="preserve">0.988</w:t>
            </w:r>
          </w:p>
        </w:tc>
        <w:tc>
          <w:tcPr>
            <w:tcW w:type="dxa" w:w="966"/>
          </w:tcPr>
          <w:p>
            <w:pPr>
              <w:pStyle w:val="TableSmall"/>
              <w:jc w:val="left"/>
            </w:pPr>
            <w:r>
              <w:t xml:space="preserve">1.000</w:t>
            </w:r>
          </w:p>
        </w:tc>
        <w:tc>
          <w:tcPr>
            <w:tcW w:type="dxa" w:w="1064"/>
          </w:tcPr>
          <w:p>
            <w:pPr>
              <w:pStyle w:val="TableSmall"/>
              <w:jc w:val="left"/>
            </w:pPr>
            <w:r>
              <w:t xml:space="preserve">0.444</w:t>
            </w:r>
          </w:p>
        </w:tc>
        <w:tc>
          <w:tcPr>
            <w:tcW w:type="dxa" w:w="1064"/>
          </w:tcPr>
          <w:p>
            <w:pPr>
              <w:pStyle w:val="TableSmall"/>
              <w:jc w:val="left"/>
            </w:pPr>
            <w:r>
              <w:t xml:space="preserve">0.993</w:t>
            </w:r>
          </w:p>
        </w:tc>
        <w:tc>
          <w:tcPr>
            <w:tcW w:type="dxa" w:w="868"/>
          </w:tcPr>
          <w:p>
            <w:pPr>
              <w:pStyle w:val="TableSmall"/>
              <w:jc w:val="left"/>
            </w:pPr>
            <w:r>
              <w:t xml:space="preserve">0.229</w:t>
            </w:r>
          </w:p>
        </w:tc>
        <w:tc>
          <w:tcPr>
            <w:tcW w:type="dxa" w:w="1064"/>
          </w:tcPr>
          <w:p>
            <w:pPr>
              <w:pStyle w:val="TableSmall"/>
              <w:jc w:val="left"/>
            </w:pPr>
            <w:r>
              <w:t xml:space="preserve">0.263</w:t>
            </w:r>
          </w:p>
        </w:tc>
        <w:tc>
          <w:tcPr>
            <w:tcW w:type="dxa" w:w="775"/>
          </w:tcPr>
          <w:p>
            <w:pPr>
              <w:pStyle w:val="TableSmall"/>
              <w:jc w:val="left"/>
            </w:pPr>
            <w:r>
              <w:t xml:space="preserve">0.490</w:t>
            </w:r>
          </w:p>
        </w:tc>
      </w:tr>
      <w:tr>
        <w:tc>
          <w:tcPr>
            <w:tcW w:type="dxa" w:w="1556"/>
          </w:tcPr>
          <w:p>
            <w:pPr>
              <w:pStyle w:val="TableSmall"/>
              <w:jc w:val="left"/>
            </w:pPr>
            <w:r>
              <w:t xml:space="preserve">Static-union</w:t>
            </w:r>
          </w:p>
        </w:tc>
        <w:tc>
          <w:tcPr>
            <w:tcW w:type="dxa" w:w="1261"/>
          </w:tcPr>
          <w:p>
            <w:pPr>
              <w:pStyle w:val="TableSmall"/>
              <w:jc w:val="left"/>
            </w:pPr>
            <w:r>
              <w:t xml:space="preserve">0.988</w:t>
            </w:r>
          </w:p>
        </w:tc>
        <w:tc>
          <w:tcPr>
            <w:tcW w:type="dxa" w:w="966"/>
          </w:tcPr>
          <w:p>
            <w:pPr>
              <w:pStyle w:val="TableSmall"/>
              <w:jc w:val="left"/>
            </w:pPr>
            <w:r>
              <w:t xml:space="preserve">1.000</w:t>
            </w:r>
          </w:p>
        </w:tc>
        <w:tc>
          <w:tcPr>
            <w:tcW w:type="dxa" w:w="1064"/>
          </w:tcPr>
          <w:p>
            <w:pPr>
              <w:pStyle w:val="TableSmall"/>
              <w:jc w:val="left"/>
            </w:pPr>
            <w:r>
              <w:t xml:space="preserve">0.815</w:t>
            </w:r>
          </w:p>
        </w:tc>
        <w:tc>
          <w:tcPr>
            <w:tcW w:type="dxa" w:w="1064"/>
          </w:tcPr>
          <w:p>
            <w:pPr>
              <w:pStyle w:val="TableSmall"/>
              <w:jc w:val="left"/>
            </w:pPr>
            <w:r>
              <w:t xml:space="preserve">0.993</w:t>
            </w:r>
          </w:p>
        </w:tc>
        <w:tc>
          <w:tcPr>
            <w:tcW w:type="dxa" w:w="868"/>
          </w:tcPr>
          <w:p>
            <w:pPr>
              <w:pStyle w:val="TableSmall"/>
              <w:jc w:val="left"/>
            </w:pPr>
            <w:r>
              <w:t xml:space="preserve">1.000</w:t>
            </w:r>
          </w:p>
        </w:tc>
        <w:tc>
          <w:tcPr>
            <w:tcW w:type="dxa" w:w="1064"/>
          </w:tcPr>
          <w:p>
            <w:pPr>
              <w:pStyle w:val="TableSmall"/>
              <w:jc w:val="left"/>
            </w:pPr>
            <w:r>
              <w:t xml:space="preserve">1.000</w:t>
            </w:r>
          </w:p>
        </w:tc>
        <w:tc>
          <w:tcPr>
            <w:tcW w:type="dxa" w:w="775"/>
          </w:tcPr>
          <w:p>
            <w:pPr>
              <w:pStyle w:val="TableSmall"/>
              <w:jc w:val="left"/>
            </w:pPr>
            <w:r>
              <w:t xml:space="preserve">0.990</w:t>
            </w:r>
          </w:p>
        </w:tc>
      </w:tr>
      <w:tr>
        <w:tc>
          <w:tcPr>
            <w:tcW w:type="dxa" w:w="1556"/>
          </w:tcPr>
          <w:p>
            <w:pPr>
              <w:pStyle w:val="TableSmall"/>
              <w:jc w:val="left"/>
            </w:pPr>
            <w:r>
              <w:t xml:space="preserve">Tree-BFS</w:t>
            </w:r>
          </w:p>
        </w:tc>
        <w:tc>
          <w:tcPr>
            <w:tcW w:type="dxa" w:w="1261"/>
          </w:tcPr>
          <w:p>
            <w:pPr>
              <w:pStyle w:val="TableSmall"/>
              <w:jc w:val="left"/>
            </w:pPr>
            <w:r>
              <w:t xml:space="preserve">0.988</w:t>
            </w:r>
          </w:p>
        </w:tc>
        <w:tc>
          <w:tcPr>
            <w:tcW w:type="dxa" w:w="966"/>
          </w:tcPr>
          <w:p>
            <w:pPr>
              <w:pStyle w:val="TableSmall"/>
              <w:jc w:val="left"/>
            </w:pPr>
            <w:r>
              <w:t xml:space="preserve">1.000</w:t>
            </w:r>
          </w:p>
        </w:tc>
        <w:tc>
          <w:tcPr>
            <w:tcW w:type="dxa" w:w="1064"/>
          </w:tcPr>
          <w:p>
            <w:pPr>
              <w:pStyle w:val="TableSmall"/>
              <w:jc w:val="left"/>
            </w:pPr>
            <w:r>
              <w:t xml:space="preserve">0.963</w:t>
            </w:r>
          </w:p>
        </w:tc>
        <w:tc>
          <w:tcPr>
            <w:tcW w:type="dxa" w:w="1064"/>
          </w:tcPr>
          <w:p>
            <w:pPr>
              <w:pStyle w:val="TableSmall"/>
              <w:jc w:val="left"/>
            </w:pPr>
            <w:r>
              <w:t xml:space="preserve">0.993</w:t>
            </w:r>
          </w:p>
        </w:tc>
        <w:tc>
          <w:tcPr>
            <w:tcW w:type="dxa" w:w="868"/>
          </w:tcPr>
          <w:p>
            <w:pPr>
              <w:pStyle w:val="TableSmall"/>
              <w:jc w:val="left"/>
            </w:pPr>
            <w:r>
              <w:t xml:space="preserve">1.000</w:t>
            </w:r>
          </w:p>
        </w:tc>
        <w:tc>
          <w:tcPr>
            <w:tcW w:type="dxa" w:w="1064"/>
          </w:tcPr>
          <w:p>
            <w:pPr>
              <w:pStyle w:val="TableSmall"/>
              <w:jc w:val="left"/>
            </w:pPr>
            <w:r>
              <w:t xml:space="preserve">1.000</w:t>
            </w:r>
          </w:p>
        </w:tc>
        <w:tc>
          <w:tcPr>
            <w:tcW w:type="dxa" w:w="775"/>
          </w:tcPr>
          <w:p>
            <w:pPr>
              <w:pStyle w:val="TableSmall"/>
              <w:jc w:val="left"/>
            </w:pPr>
            <w:r>
              <w:t xml:space="preserve">0.997</w:t>
            </w:r>
          </w:p>
        </w:tc>
      </w:tr>
      <w:tr>
        <w:tc>
          <w:tcPr>
            <w:tcW w:type="dxa" w:w="1556"/>
          </w:tcPr>
          <w:p>
            <w:pPr>
              <w:pStyle w:val="TableSmall"/>
              <w:jc w:val="left"/>
            </w:pPr>
            <w:r>
              <w:t xml:space="preserve">SP-BFS</w:t>
            </w:r>
          </w:p>
        </w:tc>
        <w:tc>
          <w:tcPr>
            <w:tcW w:type="dxa" w:w="1261"/>
          </w:tcPr>
          <w:p>
            <w:pPr>
              <w:pStyle w:val="TableSmall"/>
              <w:jc w:val="left"/>
            </w:pPr>
            <w:r>
              <w:t xml:space="preserve">0.988</w:t>
            </w:r>
          </w:p>
        </w:tc>
        <w:tc>
          <w:tcPr>
            <w:tcW w:type="dxa" w:w="966"/>
          </w:tcPr>
          <w:p>
            <w:pPr>
              <w:pStyle w:val="TableSmall"/>
              <w:jc w:val="left"/>
            </w:pPr>
            <w:r>
              <w:t xml:space="preserve">1.000</w:t>
            </w:r>
          </w:p>
        </w:tc>
        <w:tc>
          <w:tcPr>
            <w:tcW w:type="dxa" w:w="1064"/>
          </w:tcPr>
          <w:p>
            <w:pPr>
              <w:pStyle w:val="TableSmall"/>
              <w:jc w:val="left"/>
            </w:pPr>
            <w:r>
              <w:t xml:space="preserve">0.963</w:t>
            </w:r>
          </w:p>
        </w:tc>
        <w:tc>
          <w:tcPr>
            <w:tcW w:type="dxa" w:w="1064"/>
          </w:tcPr>
          <w:p>
            <w:pPr>
              <w:pStyle w:val="TableSmall"/>
              <w:jc w:val="left"/>
            </w:pPr>
            <w:r>
              <w:t xml:space="preserve">0.993</w:t>
            </w:r>
          </w:p>
        </w:tc>
        <w:tc>
          <w:tcPr>
            <w:tcW w:type="dxa" w:w="868"/>
          </w:tcPr>
          <w:p>
            <w:pPr>
              <w:pStyle w:val="TableSmall"/>
              <w:jc w:val="left"/>
            </w:pPr>
            <w:r>
              <w:t xml:space="preserve">1.000</w:t>
            </w:r>
          </w:p>
        </w:tc>
        <w:tc>
          <w:tcPr>
            <w:tcW w:type="dxa" w:w="1064"/>
          </w:tcPr>
          <w:p>
            <w:pPr>
              <w:pStyle w:val="TableSmall"/>
              <w:jc w:val="left"/>
            </w:pPr>
            <w:r>
              <w:t xml:space="preserve">1.000</w:t>
            </w:r>
          </w:p>
        </w:tc>
        <w:tc>
          <w:tcPr>
            <w:tcW w:type="dxa" w:w="775"/>
          </w:tcPr>
          <w:p>
            <w:pPr>
              <w:pStyle w:val="TableSmall"/>
              <w:jc w:val="left"/>
            </w:pPr>
            <w:r>
              <w:t xml:space="preserve">0.997</w:t>
            </w:r>
          </w:p>
        </w:tc>
      </w:tr>
    </w:tbl>
    <w:p>
      <w:pPr>
        <w:pStyle w:val="BodyText"/>
      </w:pPr>
      <w:r>
        <w:rPr>
          <w:bCs/>
          <w:b/>
        </w:rPr>
        <w:t xml:space="preserve">Answer to RQ1.</w:t>
      </w:r>
      <w:r>
        <w:t xml:space="preserve"> </w:t>
      </w:r>
      <w:r>
        <w:t xml:space="preserve">Real services differ substantially in where they</w:t>
      </w:r>
      <w:r>
        <w:t xml:space="preserve"> </w:t>
      </w:r>
      <w:r>
        <w:t xml:space="preserve">place monitored components, mainly along the two axes H2 (schema generation)</w:t>
      </w:r>
      <w:r>
        <w:t xml:space="preserve"> </w:t>
      </w:r>
      <w:r>
        <w:t xml:space="preserve">and H3 (placement). Hard-coded navigation for a single schema generation loses</w:t>
      </w:r>
      <w:r>
        <w:t xml:space="preserve"> </w:t>
      </w:r>
      <w:r>
        <w:t xml:space="preserve">between 21 % and 51 % of the components; even a union of both generations</w:t>
      </w:r>
      <w:r>
        <w:t xml:space="preserve"> </w:t>
      </w:r>
      <w:r>
        <w:t xml:space="preserve">loses components on three of the ten HPE ProLiant and Apollo servers.</w:t>
      </w:r>
    </w:p>
    <w:bookmarkEnd w:id="73"/>
    <w:bookmarkStart w:id="74" w:name="Xea4e68fe68ad89e10b0693cb4bc186ea67ca1a4"/>
    <w:p>
      <w:pPr>
        <w:pStyle w:val="Heading2"/>
      </w:pPr>
      <w:r>
        <w:t xml:space="preserve">7.3 RQ2: Completeness of Type-Based Tree Search</w:t>
      </w:r>
    </w:p>
    <w:p>
      <w:pPr>
        <w:pStyle w:val="FirstParagraph"/>
      </w:pPr>
      <w:r>
        <w:t xml:space="preserve">Tree-BFS and SP-BFS find 2</w:t>
      </w:r>
      <w:r>
        <w:t xml:space="preserve">,</w:t>
      </w:r>
      <w:r>
        <w:t xml:space="preserve">242 of the 2</w:t>
      </w:r>
      <w:r>
        <w:t xml:space="preserve">,</w:t>
      </w:r>
      <w:r>
        <w:t xml:space="preserve">248 ground-truth components</w:t>
      </w:r>
      <w:r>
        <w:t xml:space="preserve"> </w:t>
      </w:r>
      <w:r>
        <w:t xml:space="preserve">(recall 0.997) and are complete on 24 of 26 services, independent of vendor</w:t>
      </w:r>
      <w:r>
        <w:t xml:space="preserve"> </w:t>
      </w:r>
      <w:r>
        <w:t xml:space="preserve">and protocol version (Table 7.1). The six components they miss are</w:t>
      </w:r>
      <w:r>
        <w:t xml:space="preserve"> </w:t>
      </w:r>
      <w:r>
        <w:t xml:space="preserve">reachable</w:t>
      </w:r>
      <w:r>
        <w:t xml:space="preserve"> </w:t>
      </w:r>
      <w:r>
        <w:rPr>
          <w:iCs/>
          <w:i/>
        </w:rPr>
        <w:t xml:space="preserve">only</w:t>
      </w:r>
      <w:r>
        <w:t xml:space="preserve"> </w:t>
      </w:r>
      <w:r>
        <w:t xml:space="preserve">through non-containment references:</w:t>
      </w:r>
    </w:p>
    <w:p>
      <w:pPr>
        <w:numPr>
          <w:ilvl w:val="0"/>
          <w:numId w:val="1007"/>
        </w:numPr>
      </w:pPr>
      <w:r>
        <w:t xml:space="preserve">On the DMTF smartnic mockup, a network adapter of a SmartNIC card chassis</w:t>
      </w:r>
      <w:r>
        <w:t xml:space="preserve"> </w:t>
      </w:r>
      <w:r>
        <w:t xml:space="preserve">and its FPGA processor are linked only from the</w:t>
      </w:r>
      <w:r>
        <w:t xml:space="preserve"> </w:t>
      </w:r>
      <w:r>
        <w:rPr>
          <w:rStyle w:val="VerbatimChar"/>
        </w:rPr>
        <w:t xml:space="preserve">Links</w:t>
      </w:r>
      <w:r>
        <w:t xml:space="preserve"> </w:t>
      </w:r>
      <w:r>
        <w:t xml:space="preserve">of a system’s</w:t>
      </w:r>
      <w:r>
        <w:t xml:space="preserve"> </w:t>
      </w:r>
      <w:r>
        <w:t xml:space="preserve">network device function. The card’s chassis is not a member of the</w:t>
      </w:r>
      <w:r>
        <w:t xml:space="preserve"> </w:t>
      </w:r>
      <w:r>
        <w:t xml:space="preserve">chassis collection.</w:t>
      </w:r>
    </w:p>
    <w:p>
      <w:pPr>
        <w:numPr>
          <w:ilvl w:val="0"/>
          <w:numId w:val="1007"/>
        </w:numPr>
      </w:pPr>
      <w:r>
        <w:t xml:space="preserve">On the HPE DL380a Gen12, four drives are linked only from an HPE OEM</w:t>
      </w:r>
      <w:r>
        <w:t xml:space="preserve"> </w:t>
      </w:r>
      <w:r>
        <w:t xml:space="preserve">resource directory (</w:t>
      </w:r>
      <w:r>
        <w:rPr>
          <w:rStyle w:val="VerbatimChar"/>
        </w:rPr>
        <w:t xml:space="preserve">Oem/Hpe/Instances</w:t>
      </w:r>
      <w:r>
        <w:t xml:space="preserve">), not from any standard</w:t>
      </w:r>
      <w:r>
        <w:t xml:space="preserve"> </w:t>
      </w:r>
      <w:r>
        <w:t xml:space="preserve">navigation property.</w:t>
      </w:r>
    </w:p>
    <w:p>
      <w:pPr>
        <w:pStyle w:val="FirstParagraph"/>
      </w:pPr>
      <w:r>
        <w:t xml:space="preserve">Both are arguably defects of the respective service, since DSP0266 expects every</w:t>
      </w:r>
      <w:r>
        <w:t xml:space="preserve"> </w:t>
      </w:r>
      <w:r>
        <w:t xml:space="preserve">resource to be reachable through the resource tree. They illustrate the price of</w:t>
      </w:r>
      <w:r>
        <w:t xml:space="preserve"> </w:t>
      </w:r>
      <w:r>
        <w:t xml:space="preserve">restricting the search to containment edges. Following</w:t>
      </w:r>
      <w:r>
        <w:t xml:space="preserve"> </w:t>
      </w:r>
      <w:r>
        <w:rPr>
          <w:rStyle w:val="VerbatimChar"/>
        </w:rPr>
        <w:t xml:space="preserve">Links</w:t>
      </w:r>
      <w:r>
        <w:t xml:space="preserve"> </w:t>
      </w:r>
      <w:r>
        <w:t xml:space="preserve">as well would</w:t>
      </w:r>
      <w:r>
        <w:t xml:space="preserve"> </w:t>
      </w:r>
      <w:r>
        <w:t xml:space="preserve">recover them, but it would turn the almost-tree into a dense graph (every</w:t>
      </w:r>
      <w:r>
        <w:t xml:space="preserve"> </w:t>
      </w:r>
      <w:r>
        <w:t xml:space="preserve">processor links back to its chassis, every drive to its volumes and</w:t>
      </w:r>
      <w:r>
        <w:t xml:space="preserve"> </w:t>
      </w:r>
      <w:r>
        <w:t xml:space="preserve">controllers) and multiply the request count.</w:t>
      </w:r>
    </w:p>
    <w:p>
      <w:pPr>
        <w:pStyle w:val="BodyText"/>
      </w:pPr>
      <w:r>
        <w:rPr>
          <w:bCs/>
          <w:b/>
        </w:rPr>
        <w:t xml:space="preserve">Answer to RQ2.</w:t>
      </w:r>
      <w:r>
        <w:t xml:space="preserve"> </w:t>
      </w:r>
      <w:r>
        <w:t xml:space="preserve">Yes. Matching</w:t>
      </w:r>
      <w:r>
        <w:t xml:space="preserve"> </w:t>
      </w:r>
      <w:r>
        <w:rPr>
          <w:rStyle w:val="VerbatimChar"/>
        </w:rPr>
        <w:t xml:space="preserve">@odata.type</w:t>
      </w:r>
      <w:r>
        <w:t xml:space="preserve"> </w:t>
      </w:r>
      <w:r>
        <w:t xml:space="preserve">over the containment</w:t>
      </w:r>
      <w:r>
        <w:t xml:space="preserve"> </w:t>
      </w:r>
      <w:r>
        <w:t xml:space="preserve">tree finds 99.7 % of the components on all vendors and versions without a</w:t>
      </w:r>
      <w:r>
        <w:t xml:space="preserve"> </w:t>
      </w:r>
      <w:r>
        <w:t xml:space="preserve">single line of vendor-specific navigation. The remainder is attributable to</w:t>
      </w:r>
      <w:r>
        <w:t xml:space="preserve"> </w:t>
      </w:r>
      <w:r>
        <w:t xml:space="preserve">resources that the services do not place in the containment tree.</w:t>
      </w:r>
    </w:p>
    <w:bookmarkEnd w:id="74"/>
    <w:bookmarkStart w:id="78" w:name="rq3-cost-of-schema-pruned-search"/>
    <w:p>
      <w:pPr>
        <w:pStyle w:val="Heading2"/>
      </w:pPr>
      <w:r>
        <w:t xml:space="preserve">7.4 RQ3: Cost of Schema-Pruned Search</w:t>
      </w:r>
    </w:p>
    <w:p>
      <w:pPr>
        <w:pStyle w:val="FirstParagraph"/>
      </w:pPr>
      <w:r>
        <w:t xml:space="preserve">Figures 7.4 and 7.5a compare the request counts. Exhaustive</w:t>
      </w:r>
      <w:r>
        <w:t xml:space="preserve"> </w:t>
      </w:r>
      <w:r>
        <w:t xml:space="preserve">Tree-BFS needs 13</w:t>
      </w:r>
      <w:r>
        <w:t xml:space="preserve">,</w:t>
      </w:r>
      <w:r>
        <w:t xml:space="preserve">594 requests for the 26 services (523 per service on</w:t>
      </w:r>
      <w:r>
        <w:t xml:space="preserve"> </w:t>
      </w:r>
      <w:r>
        <w:t xml:space="preserve">average), because it fetches every log entry, schema file, registry and</w:t>
      </w:r>
      <w:r>
        <w:t xml:space="preserve"> </w:t>
      </w:r>
      <w:r>
        <w:t xml:space="preserve">account. SP-BFS needs 3</w:t>
      </w:r>
      <w:r>
        <w:t xml:space="preserve">,</w:t>
      </w:r>
      <w:r>
        <w:t xml:space="preserve">478 (134 per service), a reduction by a factor of</w:t>
      </w:r>
      <w:r>
        <w:t xml:space="preserve"> </w:t>
      </w:r>
      <w:r>
        <w:t xml:space="preserve">3.9 overall. The per-service pruning ratio</w:t>
      </w:r>
      <w:r>
        <w:t xml:space="preserve"> </w:t>
      </w:r>
      <m:oMath>
        <m:r>
          <m:t>ρ</m:t>
        </m:r>
      </m:oMath>
      <w:r>
        <w:t xml:space="preserve"> </w:t>
      </w:r>
      <w:r>
        <w:t xml:space="preserve">has a geometric mean of 0.20,</w:t>
      </w:r>
      <w:r>
        <w:t xml:space="preserve"> </w:t>
      </w:r>
      <w:r>
        <w:t xml:space="preserve">i.e. a five-fold reduction. It ranges from</w:t>
      </w:r>
      <w:r>
        <w:t xml:space="preserve"> </w:t>
      </w:r>
      <m:oMath>
        <m:r>
          <m:t>ρ</m:t>
        </m:r>
        <m:r>
          <m:rPr>
            <m:sty m:val="p"/>
          </m:rPr>
          <m:t>=</m:t>
        </m:r>
        <m:r>
          <m:t>0.057</m:t>
        </m:r>
      </m:oMath>
      <w:r>
        <w:t xml:space="preserve"> </w:t>
      </w:r>
      <w:r>
        <w:t xml:space="preserve">(HPE DL325 CSM, 35 instead</w:t>
      </w:r>
      <w:r>
        <w:t xml:space="preserve"> </w:t>
      </w:r>
      <w:r>
        <w:t xml:space="preserve">of 618 requests) and</w:t>
      </w:r>
      <w:r>
        <w:t xml:space="preserve"> </w:t>
      </w:r>
      <m:oMath>
        <m:r>
          <m:t>ρ</m:t>
        </m:r>
        <m:r>
          <m:rPr>
            <m:sty m:val="p"/>
          </m:rPr>
          <m:t>=</m:t>
        </m:r>
        <m:r>
          <m:t>0.060</m:t>
        </m:r>
      </m:oMath>
      <w:r>
        <w:t xml:space="preserve"> </w:t>
      </w:r>
      <w:r>
        <w:t xml:space="preserve">(Dell R740, 17 instead of 281) to</w:t>
      </w:r>
      <w:r>
        <w:t xml:space="preserve"> </w:t>
      </w:r>
      <m:oMath>
        <m:r>
          <m:t>ρ</m:t>
        </m:r>
        <m:r>
          <m:rPr>
            <m:sty m:val="p"/>
          </m:rPr>
          <m:t>=</m:t>
        </m:r>
        <m:r>
          <m:t>0.86</m:t>
        </m:r>
      </m:oMath>
      <w:r>
        <w:t xml:space="preserve"> </w:t>
      </w:r>
      <w:r>
        <w:t xml:space="preserve">on the Cray EX4252. The EX4252 is a blade enclosure whose resources are</w:t>
      </w:r>
      <w:r>
        <w:t xml:space="preserve"> </w:t>
      </w:r>
      <w:r>
        <w:t xml:space="preserve">mostly the monitored temperature sensors themselves, so there is little</w:t>
      </w:r>
      <w:r>
        <w:t xml:space="preserve"> </w:t>
      </w:r>
      <w:r>
        <w:t xml:space="preserve">irrelevant content to prune. Recall is unaffected on every service</w:t>
      </w:r>
      <w:r>
        <w:t xml:space="preserve"> </w:t>
      </w:r>
      <w:r>
        <w:t xml:space="preserve">(Theorem 5.1): all 26 services behaved as schema-conformant in the sense</w:t>
      </w:r>
      <w:r>
        <w:t xml:space="preserve"> </w:t>
      </w:r>
      <w:r>
        <w:t xml:space="preserve">that no target was reached only through a pruned edge.</w:t>
      </w:r>
    </w:p>
    <w:p>
      <w:pPr>
        <w:pStyle w:val="CaptionedFigure"/>
      </w:pPr>
      <w:r>
        <w:drawing>
          <wp:inline>
            <wp:extent cx="5334000" cy="3613735"/>
            <wp:effectExtent b="0" l="0" r="0" t="0"/>
            <wp:docPr descr="Figure 7.4: GET requests needed to discover all six categories on each service (log scale)." title="" id="1" name="Picture"/>
            <a:graphic>
              <a:graphicData uri="http://schemas.openxmlformats.org/drawingml/2006/picture">
                <pic:pic>
                  <pic:nvPicPr>
                    <pic:cNvPr descr="img/requests_per_mockup.png" id="0" name="Picture"/>
                    <pic:cNvPicPr>
                      <a:picLocks noChangeArrowheads="1" noChangeAspect="1"/>
                    </pic:cNvPicPr>
                  </pic:nvPicPr>
                  <pic:blipFill>
                    <a:blip r:embed="rId75"/>
                    <a:stretch>
                      <a:fillRect/>
                    </a:stretch>
                  </pic:blipFill>
                  <pic:spPr bwMode="auto">
                    <a:xfrm>
                      <a:off x="0" y="0"/>
                      <a:ext cx="5334000" cy="3613735"/>
                    </a:xfrm>
                    <a:prstGeom prst="rect">
                      <a:avLst/>
                    </a:prstGeom>
                    <a:noFill/>
                    <a:ln w="9525">
                      <a:noFill/>
                      <a:headEnd/>
                      <a:tailEnd/>
                    </a:ln>
                  </pic:spPr>
                </pic:pic>
              </a:graphicData>
            </a:graphic>
          </wp:inline>
        </w:drawing>
      </w:r>
    </w:p>
    <w:p>
      <w:pPr>
        <w:pStyle w:val="ImageCaption"/>
      </w:pPr>
      <w:r>
        <w:t xml:space="preserve">Figure 7.4: GET requests needed to discover all six</w:t>
      </w:r>
      <w:r>
        <w:t xml:space="preserve"> </w:t>
      </w:r>
      <w:r>
        <w:t xml:space="preserve">categories on each service (log scale).</w:t>
      </w:r>
    </w:p>
    <w:p>
      <w:pPr>
        <w:pStyle w:val="CaptionedFigure"/>
      </w:pPr>
      <w:r>
        <w:drawing>
          <wp:inline>
            <wp:extent cx="3753632" cy="2676394"/>
            <wp:effectExtent b="0" l="0" r="0" t="0"/>
            <wp:docPr descr="Figure 7.5a: Total requests versus recall." title="" id="1" name="Picture"/>
            <a:graphic>
              <a:graphicData uri="http://schemas.openxmlformats.org/drawingml/2006/picture">
                <pic:pic>
                  <pic:nvPicPr>
                    <pic:cNvPr descr="img/cost_vs_recall.png" id="0" name="Picture"/>
                    <pic:cNvPicPr>
                      <a:picLocks noChangeArrowheads="1" noChangeAspect="1"/>
                    </pic:cNvPicPr>
                  </pic:nvPicPr>
                  <pic:blipFill>
                    <a:blip r:embed="rId76"/>
                    <a:stretch>
                      <a:fillRect/>
                    </a:stretch>
                  </pic:blipFill>
                  <pic:spPr bwMode="auto">
                    <a:xfrm>
                      <a:off x="0" y="0"/>
                      <a:ext cx="3753632" cy="2676394"/>
                    </a:xfrm>
                    <a:prstGeom prst="rect">
                      <a:avLst/>
                    </a:prstGeom>
                    <a:noFill/>
                    <a:ln w="9525">
                      <a:noFill/>
                      <a:headEnd/>
                      <a:tailEnd/>
                    </a:ln>
                  </pic:spPr>
                </pic:pic>
              </a:graphicData>
            </a:graphic>
          </wp:inline>
        </w:drawing>
      </w:r>
    </w:p>
    <w:p>
      <w:pPr>
        <w:pStyle w:val="ImageCaption"/>
      </w:pPr>
      <w:r>
        <w:t xml:space="preserve">Figure 7.5a: Total requests versus recall.</w:t>
      </w:r>
    </w:p>
    <w:p>
      <w:pPr>
        <w:pStyle w:val="CaptionedFigure"/>
      </w:pPr>
      <w:r>
        <w:drawing>
          <wp:inline>
            <wp:extent cx="3774509" cy="2672219"/>
            <wp:effectExtent b="0" l="0" r="0" t="0"/>
            <wp:docPr descr="Figure 7.5b: Request rounds versus concurrency." title="" id="1" name="Picture"/>
            <a:graphic>
              <a:graphicData uri="http://schemas.openxmlformats.org/drawingml/2006/picture">
                <pic:pic>
                  <pic:nvPicPr>
                    <pic:cNvPr descr="img/rounds_vs_concurrency.png" id="0" name="Picture"/>
                    <pic:cNvPicPr>
                      <a:picLocks noChangeArrowheads="1" noChangeAspect="1"/>
                    </pic:cNvPicPr>
                  </pic:nvPicPr>
                  <pic:blipFill>
                    <a:blip r:embed="rId77"/>
                    <a:stretch>
                      <a:fillRect/>
                    </a:stretch>
                  </pic:blipFill>
                  <pic:spPr bwMode="auto">
                    <a:xfrm>
                      <a:off x="0" y="0"/>
                      <a:ext cx="3774509" cy="2672219"/>
                    </a:xfrm>
                    <a:prstGeom prst="rect">
                      <a:avLst/>
                    </a:prstGeom>
                    <a:noFill/>
                    <a:ln w="9525">
                      <a:noFill/>
                      <a:headEnd/>
                      <a:tailEnd/>
                    </a:ln>
                  </pic:spPr>
                </pic:pic>
              </a:graphicData>
            </a:graphic>
          </wp:inline>
        </w:drawing>
      </w:r>
    </w:p>
    <w:p>
      <w:pPr>
        <w:pStyle w:val="ImageCaption"/>
      </w:pPr>
      <w:r>
        <w:t xml:space="preserve">Figure 7.5b: Request rounds versus concurrency.</w:t>
      </w:r>
    </w:p>
    <w:p>
      <w:pPr>
        <w:pStyle w:val="BodyText"/>
      </w:pPr>
      <w:r>
        <w:rPr>
          <w:iCs/>
          <w:i/>
        </w:rPr>
        <w:t xml:space="preserve">Figure 7.5: Cost trade-off (a) and level-synchronous parallelism (b), summed over</w:t>
      </w:r>
      <w:r>
        <w:rPr>
          <w:iCs/>
          <w:i/>
        </w:rPr>
        <w:t xml:space="preserve"> </w:t>
      </w:r>
      <w:r>
        <w:rPr>
          <w:iCs/>
          <w:i/>
        </w:rPr>
        <w:t xml:space="preserve">all 26 services.</w:t>
      </w:r>
    </w:p>
    <w:p>
      <w:pPr>
        <w:pStyle w:val="BodyText"/>
      </w:pPr>
      <w:r>
        <w:t xml:space="preserve">Table 7.3 lists the properties at which pruning happened most often. At</w:t>
      </w:r>
      <w:r>
        <w:t xml:space="preserve"> </w:t>
      </w:r>
      <w:r>
        <w:t xml:space="preserve">the service root,</w:t>
      </w:r>
      <w:r>
        <w:t xml:space="preserve"> </w:t>
      </w:r>
      <w:r>
        <w:rPr>
          <w:rStyle w:val="VerbatimChar"/>
        </w:rPr>
        <w:t xml:space="preserve">Managers</w:t>
      </w:r>
      <w:r>
        <w:t xml:space="preserve">,</w:t>
      </w:r>
      <w:r>
        <w:t xml:space="preserve"> </w:t>
      </w:r>
      <w:r>
        <w:rPr>
          <w:rStyle w:val="VerbatimChar"/>
        </w:rPr>
        <w:t xml:space="preserve">SessionService</w:t>
      </w:r>
      <w:r>
        <w:t xml:space="preserve">,</w:t>
      </w:r>
      <w:r>
        <w:t xml:space="preserve"> </w:t>
      </w:r>
      <w:r>
        <w:rPr>
          <w:rStyle w:val="VerbatimChar"/>
        </w:rPr>
        <w:t xml:space="preserve">AccountService</w:t>
      </w:r>
      <w:r>
        <w:t xml:space="preserve">,</w:t>
      </w:r>
      <w:r>
        <w:t xml:space="preserve"> </w:t>
      </w:r>
      <w:r>
        <w:rPr>
          <w:rStyle w:val="VerbatimChar"/>
        </w:rPr>
        <w:t xml:space="preserve">EventService</w:t>
      </w:r>
      <w:r>
        <w:t xml:space="preserve">,</w:t>
      </w:r>
      <w:r>
        <w:t xml:space="preserve"> </w:t>
      </w:r>
      <w:r>
        <w:rPr>
          <w:rStyle w:val="VerbatimChar"/>
        </w:rPr>
        <w:t xml:space="preserve">Tasks</w:t>
      </w:r>
      <w:r>
        <w:t xml:space="preserve">,</w:t>
      </w:r>
      <w:r>
        <w:t xml:space="preserve"> </w:t>
      </w:r>
      <w:r>
        <w:rPr>
          <w:rStyle w:val="VerbatimChar"/>
        </w:rPr>
        <w:t xml:space="preserve">Registries</w:t>
      </w:r>
      <w:r>
        <w:t xml:space="preserve">,</w:t>
      </w:r>
      <w:r>
        <w:t xml:space="preserve"> </w:t>
      </w:r>
      <w:r>
        <w:rPr>
          <w:rStyle w:val="VerbatimChar"/>
        </w:rPr>
        <w:t xml:space="preserve">UpdateService</w:t>
      </w:r>
      <w:r>
        <w:t xml:space="preserve">,</w:t>
      </w:r>
      <w:r>
        <w:t xml:space="preserve"> </w:t>
      </w:r>
      <w:r>
        <w:rPr>
          <w:rStyle w:val="VerbatimChar"/>
        </w:rPr>
        <w:t xml:space="preserve">JsonSchemas</w:t>
      </w:r>
      <w:r>
        <w:t xml:space="preserve"> </w:t>
      </w:r>
      <w:r>
        <w:t xml:space="preserve">and</w:t>
      </w:r>
      <w:r>
        <w:t xml:space="preserve"> </w:t>
      </w:r>
      <w:r>
        <w:rPr>
          <w:rStyle w:val="VerbatimChar"/>
        </w:rPr>
        <w:t xml:space="preserve">CertificateService</w:t>
      </w:r>
      <w:r>
        <w:t xml:space="preserve"> </w:t>
      </w:r>
      <w:r>
        <w:t xml:space="preserve">are cut on almost every service.</w:t>
      </w:r>
      <w:r>
        <w:t xml:space="preserve"> </w:t>
      </w:r>
      <w:r>
        <w:t xml:space="preserve">Below systems, the BIOS, boot, secure-boot and log services are cut; below</w:t>
      </w:r>
      <w:r>
        <w:t xml:space="preserve"> </w:t>
      </w:r>
      <w:r>
        <w:t xml:space="preserve">chassis, PCIe devices and slots, assemblies and controls. The most frequent</w:t>
      </w:r>
      <w:r>
        <w:t xml:space="preserve"> </w:t>
      </w:r>
      <w:r>
        <w:t xml:space="preserve">cuts, however, are references out of the legacy embedded arrays</w:t>
      </w:r>
      <w:r>
        <w:t xml:space="preserve"> </w:t>
      </w:r>
      <w:r>
        <w:t xml:space="preserve">(</w:t>
      </w:r>
      <w:r>
        <w:rPr>
          <w:rStyle w:val="VerbatimChar"/>
        </w:rPr>
        <w:t xml:space="preserve">Power.Voltages</w:t>
      </w:r>
      <w:r>
        <w:t xml:space="preserve">,</w:t>
      </w:r>
      <w:r>
        <w:t xml:space="preserve"> </w:t>
      </w:r>
      <w:r>
        <w:rPr>
          <w:rStyle w:val="VerbatimChar"/>
        </w:rPr>
        <w:t xml:space="preserve">Thermal.Fans</w:t>
      </w:r>
      <w:r>
        <w:t xml:space="preserve">,</w:t>
      </w:r>
      <w:r>
        <w:t xml:space="preserve"> </w:t>
      </w:r>
      <w:r>
        <w:rPr>
          <w:rStyle w:val="VerbatimChar"/>
        </w:rPr>
        <w:t xml:space="preserve">Power.PowerSupplies</w:t>
      </w:r>
      <w:r>
        <w:t xml:space="preserve">). Several</w:t>
      </w:r>
      <w:r>
        <w:t xml:space="preserve"> </w:t>
      </w:r>
      <w:r>
        <w:t xml:space="preserve">vendors attach dereferenceable sensor URIs to each embedded element; the</w:t>
      </w:r>
      <w:r>
        <w:t xml:space="preserve"> </w:t>
      </w:r>
      <w:r>
        <w:t xml:space="preserve">schema declares these arrays as embedded objects, not navigation properties,</w:t>
      </w:r>
      <w:r>
        <w:t xml:space="preserve"> </w:t>
      </w:r>
      <w:r>
        <w:t xml:space="preserve">so their contents are already known and the links need not be followed.</w:t>
      </w:r>
    </w:p>
    <w:p>
      <w:pPr>
        <w:pStyle w:val="TableCaption"/>
      </w:pPr>
      <w:r>
        <w:t xml:space="preserve">Table 7.3: Most frequently pruned (type, property) pairs, summed over all services.</w:t>
      </w:r>
    </w:p>
    <w:tbl>
      <w:tblPr>
        <w:tblStyle w:val="Table"/>
        <w:tblW w:type="dxa" w:w="8618"/>
        <w:jc w:val="center"/>
        <w:tblLook w:firstRow="1" w:lastRow="0" w:firstColumn="0" w:lastColumn="0" w:noHBand="0" w:noVBand="0" w:val="0020"/>
        <w:tblCaption w:val="Table 7.3: Most frequently pruned (type, property) pairs, summed over all services."/>
      </w:tblPr>
      <w:tblGrid>
        <w:gridCol w:w="3213"/>
        <w:gridCol w:w="872"/>
        <w:gridCol w:w="3659"/>
        <w:gridCol w:w="874"/>
      </w:tblGrid>
      <w:tr>
        <w:trPr>
          <w:tblHeader w:val="true"/>
        </w:trPr>
        <w:tc>
          <w:tcPr>
            <w:tcW w:type="dxa" w:w="3213"/>
          </w:tcPr>
          <w:p>
            <w:pPr>
              <w:pStyle w:val="TableSmall"/>
              <w:jc w:val="left"/>
            </w:pPr>
            <w:r>
              <w:t xml:space="preserve">Type.property</w:t>
            </w:r>
          </w:p>
        </w:tc>
        <w:tc>
          <w:tcPr>
            <w:tcW w:type="dxa" w:w="872"/>
          </w:tcPr>
          <w:p>
            <w:pPr>
              <w:pStyle w:val="TableSmall"/>
              <w:jc w:val="left"/>
            </w:pPr>
            <w:r>
              <w:t xml:space="preserve">Cuts</w:t>
            </w:r>
          </w:p>
        </w:tc>
        <w:tc>
          <w:tcPr>
            <w:tcW w:type="dxa" w:w="3659"/>
          </w:tcPr>
          <w:p>
            <w:pPr>
              <w:pStyle w:val="TableSmall"/>
              <w:jc w:val="left"/>
            </w:pPr>
            <w:r>
              <w:t xml:space="preserve">Type.property</w:t>
            </w:r>
          </w:p>
        </w:tc>
        <w:tc>
          <w:tcPr>
            <w:tcW w:type="dxa" w:w="874"/>
          </w:tcPr>
          <w:p>
            <w:pPr>
              <w:pStyle w:val="TableSmall"/>
              <w:jc w:val="left"/>
            </w:pPr>
            <w:r>
              <w:t xml:space="preserve">Cuts</w:t>
            </w:r>
          </w:p>
        </w:tc>
      </w:tr>
      <w:tr>
        <w:tc>
          <w:tcPr>
            <w:tcW w:type="dxa" w:w="3213"/>
          </w:tcPr>
          <w:p>
            <w:pPr>
              <w:pStyle w:val="TableSmall"/>
              <w:jc w:val="left"/>
            </w:pPr>
            <w:r>
              <w:rPr>
                <w:rStyle w:val="VerbatimChar"/>
              </w:rPr>
              <w:t xml:space="preserve">Power.Voltages</w:t>
            </w:r>
          </w:p>
        </w:tc>
        <w:tc>
          <w:tcPr>
            <w:tcW w:type="dxa" w:w="872"/>
          </w:tcPr>
          <w:p>
            <w:pPr>
              <w:pStyle w:val="TableSmall"/>
              <w:jc w:val="left"/>
            </w:pPr>
            <w:r>
              <w:t xml:space="preserve">123</w:t>
            </w:r>
          </w:p>
        </w:tc>
        <w:tc>
          <w:tcPr>
            <w:tcW w:type="dxa" w:w="3659"/>
          </w:tcPr>
          <w:p>
            <w:pPr>
              <w:pStyle w:val="TableSmall"/>
              <w:jc w:val="left"/>
            </w:pPr>
            <w:r>
              <w:rPr>
                <w:rStyle w:val="VerbatimChar"/>
              </w:rPr>
              <w:t xml:space="preserve">ServiceRoot.Registries</w:t>
            </w:r>
          </w:p>
        </w:tc>
        <w:tc>
          <w:tcPr>
            <w:tcW w:type="dxa" w:w="874"/>
          </w:tcPr>
          <w:p>
            <w:pPr>
              <w:pStyle w:val="TableSmall"/>
              <w:jc w:val="left"/>
            </w:pPr>
            <w:r>
              <w:t xml:space="preserve">23</w:t>
            </w:r>
          </w:p>
        </w:tc>
      </w:tr>
      <w:tr>
        <w:tc>
          <w:tcPr>
            <w:tcW w:type="dxa" w:w="3213"/>
          </w:tcPr>
          <w:p>
            <w:pPr>
              <w:pStyle w:val="TableSmall"/>
              <w:jc w:val="left"/>
            </w:pPr>
            <w:r>
              <w:rPr>
                <w:rStyle w:val="VerbatimChar"/>
              </w:rPr>
              <w:t xml:space="preserve">Thermal.Fans</w:t>
            </w:r>
          </w:p>
        </w:tc>
        <w:tc>
          <w:tcPr>
            <w:tcW w:type="dxa" w:w="872"/>
          </w:tcPr>
          <w:p>
            <w:pPr>
              <w:pStyle w:val="TableSmall"/>
              <w:jc w:val="left"/>
            </w:pPr>
            <w:r>
              <w:t xml:space="preserve">42</w:t>
            </w:r>
          </w:p>
        </w:tc>
        <w:tc>
          <w:tcPr>
            <w:tcW w:type="dxa" w:w="3659"/>
          </w:tcPr>
          <w:p>
            <w:pPr>
              <w:pStyle w:val="TableSmall"/>
              <w:jc w:val="left"/>
            </w:pPr>
            <w:r>
              <w:rPr>
                <w:rStyle w:val="VerbatimChar"/>
              </w:rPr>
              <w:t xml:space="preserve">ServiceRoot.UpdateService</w:t>
            </w:r>
          </w:p>
        </w:tc>
        <w:tc>
          <w:tcPr>
            <w:tcW w:type="dxa" w:w="874"/>
          </w:tcPr>
          <w:p>
            <w:pPr>
              <w:pStyle w:val="TableSmall"/>
              <w:jc w:val="left"/>
            </w:pPr>
            <w:r>
              <w:t xml:space="preserve">19</w:t>
            </w:r>
          </w:p>
        </w:tc>
      </w:tr>
      <w:tr>
        <w:tc>
          <w:tcPr>
            <w:tcW w:type="dxa" w:w="3213"/>
          </w:tcPr>
          <w:p>
            <w:pPr>
              <w:pStyle w:val="TableSmall"/>
              <w:jc w:val="left"/>
            </w:pPr>
            <w:r>
              <w:rPr>
                <w:rStyle w:val="VerbatimChar"/>
              </w:rPr>
              <w:t xml:space="preserve">Fan.Assembly</w:t>
            </w:r>
          </w:p>
        </w:tc>
        <w:tc>
          <w:tcPr>
            <w:tcW w:type="dxa" w:w="872"/>
          </w:tcPr>
          <w:p>
            <w:pPr>
              <w:pStyle w:val="TableSmall"/>
              <w:jc w:val="left"/>
            </w:pPr>
            <w:r>
              <w:t xml:space="preserve">36</w:t>
            </w:r>
          </w:p>
        </w:tc>
        <w:tc>
          <w:tcPr>
            <w:tcW w:type="dxa" w:w="3659"/>
          </w:tcPr>
          <w:p>
            <w:pPr>
              <w:pStyle w:val="TableSmall"/>
              <w:jc w:val="left"/>
            </w:pPr>
            <w:r>
              <w:rPr>
                <w:rStyle w:val="VerbatimChar"/>
              </w:rPr>
              <w:t xml:space="preserve">ServiceRoot.JsonSchemas</w:t>
            </w:r>
          </w:p>
        </w:tc>
        <w:tc>
          <w:tcPr>
            <w:tcW w:type="dxa" w:w="874"/>
          </w:tcPr>
          <w:p>
            <w:pPr>
              <w:pStyle w:val="TableSmall"/>
              <w:jc w:val="left"/>
            </w:pPr>
            <w:r>
              <w:t xml:space="preserve">19</w:t>
            </w:r>
          </w:p>
        </w:tc>
      </w:tr>
      <w:tr>
        <w:tc>
          <w:tcPr>
            <w:tcW w:type="dxa" w:w="3213"/>
          </w:tcPr>
          <w:p>
            <w:pPr>
              <w:pStyle w:val="TableSmall"/>
              <w:jc w:val="left"/>
            </w:pPr>
            <w:r>
              <w:rPr>
                <w:rStyle w:val="VerbatimChar"/>
              </w:rPr>
              <w:t xml:space="preserve">ComputerSystem.Bios</w:t>
            </w:r>
          </w:p>
        </w:tc>
        <w:tc>
          <w:tcPr>
            <w:tcW w:type="dxa" w:w="872"/>
          </w:tcPr>
          <w:p>
            <w:pPr>
              <w:pStyle w:val="TableSmall"/>
              <w:jc w:val="left"/>
            </w:pPr>
            <w:r>
              <w:t xml:space="preserve">27</w:t>
            </w:r>
          </w:p>
        </w:tc>
        <w:tc>
          <w:tcPr>
            <w:tcW w:type="dxa" w:w="3659"/>
          </w:tcPr>
          <w:p>
            <w:pPr>
              <w:pStyle w:val="TableSmall"/>
              <w:jc w:val="left"/>
            </w:pPr>
            <w:r>
              <w:rPr>
                <w:rStyle w:val="VerbatimChar"/>
              </w:rPr>
              <w:t xml:space="preserve">ComputerSystem.LogServices</w:t>
            </w:r>
          </w:p>
        </w:tc>
        <w:tc>
          <w:tcPr>
            <w:tcW w:type="dxa" w:w="874"/>
          </w:tcPr>
          <w:p>
            <w:pPr>
              <w:pStyle w:val="TableSmall"/>
              <w:jc w:val="left"/>
            </w:pPr>
            <w:r>
              <w:t xml:space="preserve">18</w:t>
            </w:r>
          </w:p>
        </w:tc>
      </w:tr>
      <w:tr>
        <w:tc>
          <w:tcPr>
            <w:tcW w:type="dxa" w:w="3213"/>
          </w:tcPr>
          <w:p>
            <w:pPr>
              <w:pStyle w:val="TableSmall"/>
              <w:jc w:val="left"/>
            </w:pPr>
            <w:r>
              <w:rPr>
                <w:rStyle w:val="VerbatimChar"/>
              </w:rPr>
              <w:t xml:space="preserve">ServiceRoot.Managers</w:t>
            </w:r>
          </w:p>
        </w:tc>
        <w:tc>
          <w:tcPr>
            <w:tcW w:type="dxa" w:w="872"/>
          </w:tcPr>
          <w:p>
            <w:pPr>
              <w:pStyle w:val="TableSmall"/>
              <w:jc w:val="left"/>
            </w:pPr>
            <w:r>
              <w:t xml:space="preserve">26</w:t>
            </w:r>
          </w:p>
        </w:tc>
        <w:tc>
          <w:tcPr>
            <w:tcW w:type="dxa" w:w="3659"/>
          </w:tcPr>
          <w:p>
            <w:pPr>
              <w:pStyle w:val="TableSmall"/>
              <w:jc w:val="left"/>
            </w:pPr>
            <w:r>
              <w:rPr>
                <w:rStyle w:val="VerbatimChar"/>
              </w:rPr>
              <w:t xml:space="preserve">ComputerSystem.Boot</w:t>
            </w:r>
          </w:p>
        </w:tc>
        <w:tc>
          <w:tcPr>
            <w:tcW w:type="dxa" w:w="874"/>
          </w:tcPr>
          <w:p>
            <w:pPr>
              <w:pStyle w:val="TableSmall"/>
              <w:jc w:val="left"/>
            </w:pPr>
            <w:r>
              <w:t xml:space="preserve">18</w:t>
            </w:r>
          </w:p>
        </w:tc>
      </w:tr>
      <w:tr>
        <w:tc>
          <w:tcPr>
            <w:tcW w:type="dxa" w:w="3213"/>
          </w:tcPr>
          <w:p>
            <w:pPr>
              <w:pStyle w:val="TableSmall"/>
              <w:jc w:val="left"/>
            </w:pPr>
            <w:r>
              <w:rPr>
                <w:rStyle w:val="VerbatimChar"/>
              </w:rPr>
              <w:t xml:space="preserve">ServiceRoot.SessionService</w:t>
            </w:r>
          </w:p>
        </w:tc>
        <w:tc>
          <w:tcPr>
            <w:tcW w:type="dxa" w:w="872"/>
          </w:tcPr>
          <w:p>
            <w:pPr>
              <w:pStyle w:val="TableSmall"/>
              <w:jc w:val="left"/>
            </w:pPr>
            <w:r>
              <w:t xml:space="preserve">26</w:t>
            </w:r>
          </w:p>
        </w:tc>
        <w:tc>
          <w:tcPr>
            <w:tcW w:type="dxa" w:w="3659"/>
          </w:tcPr>
          <w:p>
            <w:pPr>
              <w:pStyle w:val="TableSmall"/>
              <w:jc w:val="left"/>
            </w:pPr>
            <w:r>
              <w:rPr>
                <w:rStyle w:val="VerbatimChar"/>
              </w:rPr>
              <w:t xml:space="preserve">ServiceRoot.CertificateService</w:t>
            </w:r>
          </w:p>
        </w:tc>
        <w:tc>
          <w:tcPr>
            <w:tcW w:type="dxa" w:w="874"/>
          </w:tcPr>
          <w:p>
            <w:pPr>
              <w:pStyle w:val="TableSmall"/>
              <w:jc w:val="left"/>
            </w:pPr>
            <w:r>
              <w:t xml:space="preserve">16</w:t>
            </w:r>
          </w:p>
        </w:tc>
      </w:tr>
      <w:tr>
        <w:tc>
          <w:tcPr>
            <w:tcW w:type="dxa" w:w="3213"/>
          </w:tcPr>
          <w:p>
            <w:pPr>
              <w:pStyle w:val="TableSmall"/>
              <w:jc w:val="left"/>
            </w:pPr>
            <w:r>
              <w:rPr>
                <w:rStyle w:val="VerbatimChar"/>
              </w:rPr>
              <w:t xml:space="preserve">ServiceRoot.AccountService</w:t>
            </w:r>
          </w:p>
        </w:tc>
        <w:tc>
          <w:tcPr>
            <w:tcW w:type="dxa" w:w="872"/>
          </w:tcPr>
          <w:p>
            <w:pPr>
              <w:pStyle w:val="TableSmall"/>
              <w:jc w:val="left"/>
            </w:pPr>
            <w:r>
              <w:t xml:space="preserve">26</w:t>
            </w:r>
          </w:p>
        </w:tc>
        <w:tc>
          <w:tcPr>
            <w:tcW w:type="dxa" w:w="3659"/>
          </w:tcPr>
          <w:p>
            <w:pPr>
              <w:pStyle w:val="TableSmall"/>
              <w:jc w:val="left"/>
            </w:pPr>
            <w:r>
              <w:rPr>
                <w:rStyle w:val="VerbatimChar"/>
              </w:rPr>
              <w:t xml:space="preserve">ComputerSystem.SecureBoot</w:t>
            </w:r>
          </w:p>
        </w:tc>
        <w:tc>
          <w:tcPr>
            <w:tcW w:type="dxa" w:w="874"/>
          </w:tcPr>
          <w:p>
            <w:pPr>
              <w:pStyle w:val="TableSmall"/>
              <w:jc w:val="left"/>
            </w:pPr>
            <w:r>
              <w:t xml:space="preserve">16</w:t>
            </w:r>
          </w:p>
        </w:tc>
      </w:tr>
      <w:tr>
        <w:tc>
          <w:tcPr>
            <w:tcW w:type="dxa" w:w="3213"/>
          </w:tcPr>
          <w:p>
            <w:pPr>
              <w:pStyle w:val="TableSmall"/>
              <w:jc w:val="left"/>
            </w:pPr>
            <w:r>
              <w:rPr>
                <w:rStyle w:val="VerbatimChar"/>
              </w:rPr>
              <w:t xml:space="preserve">ServiceRoot.EventService</w:t>
            </w:r>
          </w:p>
        </w:tc>
        <w:tc>
          <w:tcPr>
            <w:tcW w:type="dxa" w:w="872"/>
          </w:tcPr>
          <w:p>
            <w:pPr>
              <w:pStyle w:val="TableSmall"/>
              <w:jc w:val="left"/>
            </w:pPr>
            <w:r>
              <w:t xml:space="preserve">25</w:t>
            </w:r>
          </w:p>
        </w:tc>
        <w:tc>
          <w:tcPr>
            <w:tcW w:type="dxa" w:w="3659"/>
          </w:tcPr>
          <w:p>
            <w:pPr>
              <w:pStyle w:val="TableSmall"/>
              <w:jc w:val="left"/>
            </w:pPr>
            <w:r>
              <w:rPr>
                <w:rStyle w:val="VerbatimChar"/>
              </w:rPr>
              <w:t xml:space="preserve">Thermal.Temperatures</w:t>
            </w:r>
          </w:p>
        </w:tc>
        <w:tc>
          <w:tcPr>
            <w:tcW w:type="dxa" w:w="874"/>
          </w:tcPr>
          <w:p>
            <w:pPr>
              <w:pStyle w:val="TableSmall"/>
              <w:jc w:val="left"/>
            </w:pPr>
            <w:r>
              <w:t xml:space="preserve">16</w:t>
            </w:r>
          </w:p>
        </w:tc>
      </w:tr>
      <w:tr>
        <w:tc>
          <w:tcPr>
            <w:tcW w:type="dxa" w:w="3213"/>
          </w:tcPr>
          <w:p>
            <w:pPr>
              <w:pStyle w:val="TableSmall"/>
              <w:jc w:val="left"/>
            </w:pPr>
            <w:r>
              <w:rPr>
                <w:rStyle w:val="VerbatimChar"/>
              </w:rPr>
              <w:t xml:space="preserve">ServiceRoot.Tasks</w:t>
            </w:r>
          </w:p>
        </w:tc>
        <w:tc>
          <w:tcPr>
            <w:tcW w:type="dxa" w:w="872"/>
          </w:tcPr>
          <w:p>
            <w:pPr>
              <w:pStyle w:val="TableSmall"/>
              <w:jc w:val="left"/>
            </w:pPr>
            <w:r>
              <w:t xml:space="preserve">24</w:t>
            </w:r>
          </w:p>
        </w:tc>
        <w:tc>
          <w:tcPr>
            <w:tcW w:type="dxa" w:w="3659"/>
          </w:tcPr>
          <w:p>
            <w:pPr>
              <w:pStyle w:val="TableSmall"/>
              <w:jc w:val="left"/>
            </w:pPr>
            <w:r>
              <w:rPr>
                <w:rStyle w:val="VerbatimChar"/>
              </w:rPr>
              <w:t xml:space="preserve">Power.PowerSupplies</w:t>
            </w:r>
          </w:p>
        </w:tc>
        <w:tc>
          <w:tcPr>
            <w:tcW w:type="dxa" w:w="874"/>
          </w:tcPr>
          <w:p>
            <w:pPr>
              <w:pStyle w:val="TableSmall"/>
              <w:jc w:val="left"/>
            </w:pPr>
            <w:r>
              <w:t xml:space="preserve">15</w:t>
            </w:r>
          </w:p>
        </w:tc>
      </w:tr>
    </w:tbl>
    <w:p>
      <w:pPr>
        <w:pStyle w:val="BodyText"/>
      </w:pPr>
      <w:r>
        <w:t xml:space="preserve">Compared with the hand-maintained Static-union, SP-BFS issues 23 % more</w:t>
      </w:r>
      <w:r>
        <w:t xml:space="preserve"> </w:t>
      </w:r>
      <w:r>
        <w:t xml:space="preserve">requests in total (3</w:t>
      </w:r>
      <w:r>
        <w:t xml:space="preserve">,</w:t>
      </w:r>
      <w:r>
        <w:t xml:space="preserve">478 versus 2</w:t>
      </w:r>
      <w:r>
        <w:t xml:space="preserve">,</w:t>
      </w:r>
      <w:r>
        <w:t xml:space="preserve">836; geometric mean of the per-service</w:t>
      </w:r>
      <w:r>
        <w:t xml:space="preserve"> </w:t>
      </w:r>
      <w:r>
        <w:t xml:space="preserve">ratio 1.22). On 7 services it issues exactly as many requests. The largest overheads</w:t>
      </w:r>
      <w:r>
        <w:t xml:space="preserve"> </w:t>
      </w:r>
      <w:r>
        <w:t xml:space="preserve">are on the DMTF tower (3.4</w:t>
      </w:r>
      <m:oMath>
        <m:r>
          <m:rPr>
            <m:sty m:val="p"/>
          </m:rPr>
          <m:t>×</m:t>
        </m:r>
      </m:oMath>
      <w:r>
        <w:t xml:space="preserve">), where SP-BFS descends into the 256</w:t>
      </w:r>
      <w:r>
        <w:t xml:space="preserve"> </w:t>
      </w:r>
      <w:r>
        <w:rPr>
          <w:rStyle w:val="VerbatimChar"/>
        </w:rPr>
        <w:t xml:space="preserve">SubProcessors</w:t>
      </w:r>
      <w:r>
        <w:t xml:space="preserve"> </w:t>
      </w:r>
      <w:r>
        <w:t xml:space="preserve">(cores and threads) of its eight CPUs because a processor</w:t>
      </w:r>
      <w:r>
        <w:t xml:space="preserve"> </w:t>
      </w:r>
      <w:r>
        <w:rPr>
          <w:iCs/>
          <w:i/>
        </w:rPr>
        <w:t xml:space="preserve">can</w:t>
      </w:r>
      <w:r>
        <w:t xml:space="preserve"> </w:t>
      </w:r>
      <w:r>
        <w:t xml:space="preserve">contain processors, and on three HPE servers (1.5–1.75</w:t>
      </w:r>
      <m:oMath>
        <m:r>
          <m:rPr>
            <m:sty m:val="p"/>
          </m:rPr>
          <m:t>×</m:t>
        </m:r>
      </m:oMath>
      <w:r>
        <w:t xml:space="preserve">),</w:t>
      </w:r>
      <w:r>
        <w:t xml:space="preserve"> </w:t>
      </w:r>
      <w:r>
        <w:t xml:space="preserve">where it descends into the network device functions and ports of the network</w:t>
      </w:r>
      <w:r>
        <w:t xml:space="preserve"> </w:t>
      </w:r>
      <w:r>
        <w:t xml:space="preserve">adapters, because the schema allows</w:t>
      </w:r>
      <w:r>
        <w:t xml:space="preserve"> </w:t>
      </w:r>
      <w:r>
        <w:rPr>
          <w:rStyle w:val="VerbatimChar"/>
        </w:rPr>
        <w:t xml:space="preserve">EthernetInterface</w:t>
      </w:r>
      <w:r>
        <w:t xml:space="preserve"> </w:t>
      </w:r>
      <w:r>
        <w:t xml:space="preserve">resources below a</w:t>
      </w:r>
      <w:r>
        <w:t xml:space="preserve"> </w:t>
      </w:r>
      <w:r>
        <w:rPr>
          <w:rStyle w:val="VerbatimChar"/>
        </w:rPr>
        <w:t xml:space="preserve">NetworkDeviceFunction</w:t>
      </w:r>
      <w:r>
        <w:t xml:space="preserve">. By Proposition 5.3, no algorithm that relies only on the schema</w:t>
      </w:r>
      <w:r>
        <w:t xml:space="preserve"> </w:t>
      </w:r>
      <w:r>
        <w:t xml:space="preserve">can avoid these requests. Static-union avoids them only because its author</w:t>
      </w:r>
      <w:r>
        <w:t xml:space="preserve"> </w:t>
      </w:r>
      <w:r>
        <w:t xml:space="preserve">knows, for this particular set of services, where drives do</w:t>
      </w:r>
      <w:r>
        <w:t xml:space="preserve"> </w:t>
      </w:r>
      <w:r>
        <w:rPr>
          <w:iCs/>
          <w:i/>
        </w:rPr>
        <w:t xml:space="preserve">not</w:t>
      </w:r>
      <w:r>
        <w:t xml:space="preserve"> </w:t>
      </w:r>
      <w:r>
        <w:t xml:space="preserve">occur.</w:t>
      </w:r>
      <w:r>
        <w:t xml:space="preserve"> </w:t>
      </w:r>
      <w:r>
        <w:t xml:space="preserve">The same knowledge makes it miss the drives of the three HPE servers above.</w:t>
      </w:r>
    </w:p>
    <w:p>
      <w:pPr>
        <w:pStyle w:val="BodyText"/>
      </w:pPr>
      <w:r>
        <w:rPr>
          <w:bCs/>
          <w:b/>
        </w:rPr>
        <w:t xml:space="preserve">Single-category queries.</w:t>
      </w:r>
      <w:r>
        <w:t xml:space="preserve"> </w:t>
      </w:r>
      <w:r>
        <w:t xml:space="preserve">When only one category is requested,</w:t>
      </w:r>
      <w:r>
        <w:t xml:space="preserve"> </w:t>
      </w:r>
      <w:r>
        <w:t xml:space="preserve">pruning is much stronger, because fewer anchor types keep fewer branches alive.</w:t>
      </w:r>
      <w:r>
        <w:t xml:space="preserve"> </w:t>
      </w:r>
      <w:r>
        <w:t xml:space="preserve">Summed over all services that have the category, SP-BFS needs 162 requests to</w:t>
      </w:r>
      <w:r>
        <w:t xml:space="preserve"> </w:t>
      </w:r>
      <w:r>
        <w:t xml:space="preserve">find all power supplies (7 per service, against 12</w:t>
      </w:r>
      <w:r>
        <w:t xml:space="preserve">,</w:t>
      </w:r>
      <w:r>
        <w:t xml:space="preserve">569 for Tree-BFS), 255 for</w:t>
      </w:r>
      <w:r>
        <w:t xml:space="preserve"> </w:t>
      </w:r>
      <w:r>
        <w:t xml:space="preserve">all drives and 616 for all processors.</w:t>
      </w:r>
    </w:p>
    <w:p>
      <w:pPr>
        <w:pStyle w:val="BodyText"/>
      </w:pPr>
      <w:r>
        <w:rPr>
          <w:bCs/>
          <w:b/>
        </w:rPr>
        <w:t xml:space="preserve">Computation.</w:t>
      </w:r>
      <w:r>
        <w:t xml:space="preserve"> </w:t>
      </w:r>
      <w:r>
        <w:t xml:space="preserve">Building the type graph from the 2026.2 bundle takes</w:t>
      </w:r>
      <w:r>
        <w:t xml:space="preserve"> </w:t>
      </w:r>
      <w:r>
        <w:t xml:space="preserve">about 1 s and is done once. The client-side processing of SP-BFS</w:t>
      </w:r>
      <w:r>
        <w:t xml:space="preserve"> </w:t>
      </w:r>
      <w:r>
        <w:t xml:space="preserve">(reference extraction, query evaluation and pruning decisions, with the mockup</w:t>
      </w:r>
      <w:r>
        <w:t xml:space="preserve"> </w:t>
      </w:r>
      <w:r>
        <w:t xml:space="preserve">file reads) takes 12 ms per service on average and at most</w:t>
      </w:r>
      <w:r>
        <w:t xml:space="preserve"> </w:t>
      </w:r>
      <w:r>
        <w:t xml:space="preserve">72 ms. This is negligible compared with a single BMC request.</w:t>
      </w:r>
    </w:p>
    <w:p>
      <w:pPr>
        <w:pStyle w:val="BodyText"/>
      </w:pPr>
      <w:r>
        <w:rPr>
          <w:bCs/>
          <w:b/>
        </w:rPr>
        <w:t xml:space="preserve">Answer to RQ3.</w:t>
      </w:r>
      <w:r>
        <w:t xml:space="preserve"> </w:t>
      </w:r>
      <w:r>
        <w:t xml:space="preserve">Yes. Schema pruning removes on average 80 % of the</w:t>
      </w:r>
      <w:r>
        <w:t xml:space="preserve"> </w:t>
      </w:r>
      <w:r>
        <w:t xml:space="preserve">requests of exhaustive tree search (per-service geometric mean) without losing</w:t>
      </w:r>
      <w:r>
        <w:t xml:space="preserve"> </w:t>
      </w:r>
      <w:r>
        <w:t xml:space="preserve">any component, and brings the cost to within about a quarter of a hand-written</w:t>
      </w:r>
      <w:r>
        <w:t xml:space="preserve"> </w:t>
      </w:r>
      <w:r>
        <w:t xml:space="preserve">client that knows both schema generations. Unlike that client, it needs no</w:t>
      </w:r>
      <w:r>
        <w:t xml:space="preserve"> </w:t>
      </w:r>
      <w:r>
        <w:t xml:space="preserve">vendor-specific code and is more complete.</w:t>
      </w:r>
    </w:p>
    <w:bookmarkEnd w:id="78"/>
    <w:bookmarkStart w:id="80" w:name="rq4-latency-parallelism-and-amortisation"/>
    <w:p>
      <w:pPr>
        <w:pStyle w:val="Heading2"/>
      </w:pPr>
      <w:r>
        <w:t xml:space="preserve">7.5 RQ4: Latency, Parallelism and Amortisation</w:t>
      </w:r>
    </w:p>
    <w:p>
      <w:pPr>
        <w:pStyle w:val="FirstParagraph"/>
      </w:pPr>
      <w:r>
        <w:rPr>
          <w:bCs/>
          <w:b/>
        </w:rPr>
        <w:t xml:space="preserve">Time to first answer.</w:t>
      </w:r>
      <w:r>
        <w:t xml:space="preserve"> </w:t>
      </w:r>
      <w:r>
        <w:t xml:space="preserve">Figure 7.6 compares, for each of the</w:t>
      </w:r>
      <w:r>
        <w:t xml:space="preserve"> </w:t>
      </w:r>
      <w:r>
        <w:t xml:space="preserve">138 (service, category) pairs with a non-empty ground truth, the number of</w:t>
      </w:r>
      <w:r>
        <w:t xml:space="preserve"> </w:t>
      </w:r>
      <w:r>
        <w:t xml:space="preserve">requests a single-category traversal needs before it finds its first answer.</w:t>
      </w:r>
      <w:r>
        <w:t xml:space="preserve"> </w:t>
      </w:r>
      <w:r>
        <w:t xml:space="preserve">Contrary to the intuition that BFS finds things early, exhaustive Tree-BFS is</w:t>
      </w:r>
      <w:r>
        <w:t xml:space="preserve"> </w:t>
      </w:r>
      <w:r>
        <w:rPr>
          <w:iCs/>
          <w:i/>
        </w:rPr>
        <w:t xml:space="preserve">slower</w:t>
      </w:r>
      <w:r>
        <w:t xml:space="preserve"> </w:t>
      </w:r>
      <w:r>
        <w:t xml:space="preserve">than Tree-DFS in 78 % of the cases (median 234 versus 48</w:t>
      </w:r>
      <w:r>
        <w:t xml:space="preserve"> </w:t>
      </w:r>
      <w:r>
        <w:t xml:space="preserve">requests): the shallow levels of a Redfish tree are wide and filled with</w:t>
      </w:r>
      <w:r>
        <w:t xml:space="preserve"> </w:t>
      </w:r>
      <w:r>
        <w:t xml:space="preserve">irrelevant resources, and BFS must sweep all of them before it reaches the</w:t>
      </w:r>
      <w:r>
        <w:t xml:space="preserve"> </w:t>
      </w:r>
      <w:r>
        <w:t xml:space="preserve">components at depth 4–6. SP-BFS removes these levels and finds the first</w:t>
      </w:r>
      <w:r>
        <w:t xml:space="preserve"> </w:t>
      </w:r>
      <w:r>
        <w:t xml:space="preserve">answer after a median of 9 requests (5 for power and thermal, 13 for memory and</w:t>
      </w:r>
      <w:r>
        <w:t xml:space="preserve"> </w:t>
      </w:r>
      <w:r>
        <w:t xml:space="preserve">network).</w:t>
      </w:r>
    </w:p>
    <w:p>
      <w:pPr>
        <w:pStyle w:val="CaptionedFigure"/>
      </w:pPr>
      <w:r>
        <w:drawing>
          <wp:inline>
            <wp:extent cx="3774509" cy="2676394"/>
            <wp:effectExtent b="0" l="0" r="0" t="0"/>
            <wp:docPr descr="Figure 7.6: Requests until the first answer of a single-category query, Tree-BFS versus Tree-DFS (one point per service and category; points above the diagonal favour DFS)." title="" id="1" name="Picture"/>
            <a:graphic>
              <a:graphicData uri="http://schemas.openxmlformats.org/drawingml/2006/picture">
                <pic:pic>
                  <pic:nvPicPr>
                    <pic:cNvPr descr="img/first_hit_bfs_dfs.png" id="0" name="Picture"/>
                    <pic:cNvPicPr>
                      <a:picLocks noChangeArrowheads="1" noChangeAspect="1"/>
                    </pic:cNvPicPr>
                  </pic:nvPicPr>
                  <pic:blipFill>
                    <a:blip r:embed="rId79"/>
                    <a:stretch>
                      <a:fillRect/>
                    </a:stretch>
                  </pic:blipFill>
                  <pic:spPr bwMode="auto">
                    <a:xfrm>
                      <a:off x="0" y="0"/>
                      <a:ext cx="3774509" cy="2676394"/>
                    </a:xfrm>
                    <a:prstGeom prst="rect">
                      <a:avLst/>
                    </a:prstGeom>
                    <a:noFill/>
                    <a:ln w="9525">
                      <a:noFill/>
                      <a:headEnd/>
                      <a:tailEnd/>
                    </a:ln>
                  </pic:spPr>
                </pic:pic>
              </a:graphicData>
            </a:graphic>
          </wp:inline>
        </w:drawing>
      </w:r>
    </w:p>
    <w:p>
      <w:pPr>
        <w:pStyle w:val="ImageCaption"/>
      </w:pPr>
      <w:r>
        <w:t xml:space="preserve">Figure 7.6: Requests until the first answer of a</w:t>
      </w:r>
      <w:r>
        <w:t xml:space="preserve"> </w:t>
      </w:r>
      <w:r>
        <w:t xml:space="preserve">single-category query, Tree-BFS versus Tree-DFS (one point per service and</w:t>
      </w:r>
      <w:r>
        <w:t xml:space="preserve"> </w:t>
      </w:r>
      <w:r>
        <w:t xml:space="preserve">category; points above the diagonal favour DFS).</w:t>
      </w:r>
    </w:p>
    <w:p>
      <w:pPr>
        <w:pStyle w:val="BodyText"/>
      </w:pPr>
      <w:r>
        <w:rPr>
          <w:bCs/>
          <w:b/>
        </w:rPr>
        <w:t xml:space="preserve">Parallelism.</w:t>
      </w:r>
      <w:r>
        <w:t xml:space="preserve"> </w:t>
      </w:r>
      <w:r>
        <w:t xml:space="preserve">Figure 7.5b shows the request rounds</w:t>
      </w:r>
      <w:r>
        <w:t xml:space="preserve"> </w:t>
      </w:r>
      <m:oMath>
        <m:r>
          <m:t>R</m:t>
        </m:r>
        <m:d>
          <m:dPr>
            <m:begChr m:val="("/>
            <m:sepChr m:val=""/>
            <m:endChr m:val=")"/>
            <m:grow/>
          </m:dPr>
          <m:e>
            <m:r>
              <m:t>c</m:t>
            </m:r>
          </m:e>
        </m:d>
      </m:oMath>
      <w:r>
        <w:t xml:space="preserve"> </w:t>
      </w:r>
      <w:r>
        <w:t xml:space="preserve">of</w:t>
      </w:r>
      <w:r>
        <w:t xml:space="preserve"> </w:t>
      </w:r>
      <w:r>
        <w:t xml:space="preserve">Eq. (5.6), summed over all services. Because the containment trees have</w:t>
      </w:r>
      <w:r>
        <w:t xml:space="preserve"> </w:t>
      </w:r>
      <w:r>
        <w:t xml:space="preserve">only 6–8 levels, the level barrier costs little: SP-BFS needs 3</w:t>
      </w:r>
      <w:r>
        <w:t xml:space="preserve">,</w:t>
      </w:r>
      <w:r>
        <w:t xml:space="preserve">461 rounds</w:t>
      </w:r>
      <w:r>
        <w:t xml:space="preserve"> </w:t>
      </w:r>
      <w:r>
        <w:t xml:space="preserve">at</w:t>
      </w:r>
      <w:r>
        <w:t xml:space="preserve"> </w:t>
      </w:r>
      <m:oMath>
        <m:r>
          <m:t>c</m:t>
        </m:r>
        <m:r>
          <m:rPr>
            <m:sty m:val="p"/>
          </m:rPr>
          <m:t>=</m:t>
        </m:r>
        <m:r>
          <m:t>1</m:t>
        </m:r>
      </m:oMath>
      <w:r>
        <w:t xml:space="preserve">, 948 at</w:t>
      </w:r>
      <w:r>
        <w:t xml:space="preserve"> </w:t>
      </w:r>
      <m:oMath>
        <m:r>
          <m:t>c</m:t>
        </m:r>
        <m:r>
          <m:rPr>
            <m:sty m:val="p"/>
          </m:rPr>
          <m:t>=</m:t>
        </m:r>
        <m:r>
          <m:t>4</m:t>
        </m:r>
      </m:oMath>
      <w:r>
        <w:t xml:space="preserve">, 536 at</w:t>
      </w:r>
      <w:r>
        <w:t xml:space="preserve"> </w:t>
      </w:r>
      <m:oMath>
        <m:r>
          <m:t>c</m:t>
        </m:r>
        <m:r>
          <m:rPr>
            <m:sty m:val="p"/>
          </m:rPr>
          <m:t>=</m:t>
        </m:r>
        <m:r>
          <m:t>8</m:t>
        </m:r>
      </m:oMath>
      <w:r>
        <w:t xml:space="preserve"> </w:t>
      </w:r>
      <w:r>
        <w:t xml:space="preserve">and 333 at</w:t>
      </w:r>
      <w:r>
        <w:t xml:space="preserve"> </w:t>
      </w:r>
      <m:oMath>
        <m:r>
          <m:t>c</m:t>
        </m:r>
        <m:r>
          <m:rPr>
            <m:sty m:val="p"/>
          </m:rPr>
          <m:t>=</m:t>
        </m:r>
        <m:r>
          <m:t>16</m:t>
        </m:r>
      </m:oMath>
      <w:r>
        <w:t xml:space="preserve"> </w:t>
      </w:r>
      <w:r>
        <w:t xml:space="preserve">(12.8 rounds per service</w:t>
      </w:r>
      <w:r>
        <w:t xml:space="preserve"> </w:t>
      </w:r>
      <w:r>
        <w:t xml:space="preserve">on average), approaching the lower bound of 199 rounds given by the number of</w:t>
      </w:r>
      <w:r>
        <w:t xml:space="preserve"> </w:t>
      </w:r>
      <w:r>
        <w:t xml:space="preserve">tree levels.</w:t>
      </w:r>
    </w:p>
    <w:p>
      <w:pPr>
        <w:pStyle w:val="BodyText"/>
      </w:pPr>
      <w:r>
        <w:rPr>
          <w:bCs/>
          <w:b/>
        </w:rPr>
        <w:t xml:space="preserve">Latency model.</w:t>
      </w:r>
      <w:r>
        <w:t xml:space="preserve"> </w:t>
      </w:r>
      <w:r>
        <w:t xml:space="preserve">Mockups carry no timing information, so we translate</w:t>
      </w:r>
      <w:r>
        <w:t xml:space="preserve"> </w:t>
      </w:r>
      <w:r>
        <w:t xml:space="preserve">rounds into time with the per-request latency reported for iDRAC8 in production</w:t>
      </w:r>
      <w:r>
        <w:t xml:space="preserve"> </w:t>
      </w:r>
      <w:r>
        <w:t xml:space="preserve">by MonSTer,</w:t>
      </w:r>
      <w:r>
        <w:t xml:space="preserve"> </w:t>
      </w:r>
      <m:oMath>
        <m:acc>
          <m:accPr>
            <m:chr m:val="‾"/>
          </m:accPr>
          <m:e>
            <m:r>
              <m:rPr>
                <m:sty m:val="p"/>
              </m:rPr>
              <m:t>ℓ</m:t>
            </m:r>
          </m:e>
        </m:acc>
        <m:r>
          <m:rPr>
            <m:sty m:val="p"/>
          </m:rPr>
          <m:t>=</m:t>
        </m:r>
        <m:r>
          <m:t>4.29</m:t>
        </m:r>
        <m:r>
          <m:t>s</m:t>
        </m:r>
      </m:oMath>
      <w:r>
        <w:t xml:space="preserve"> </w:t>
      </w:r>
      <w:hyperlink w:anchor="ref-li2020monster">
        <w:r>
          <w:rPr>
            <w:rStyle w:val="Hyperlink"/>
          </w:rPr>
          <w:t xml:space="preserve">[4]</w:t>
        </w:r>
      </w:hyperlink>
      <w:r>
        <w:t xml:space="preserve">. This is a</w:t>
      </w:r>
      <w:r>
        <w:t xml:space="preserve"> </w:t>
      </w:r>
      <w:r>
        <w:t xml:space="preserve">pessimistic value measured under concurrent load. Under this model, an average</w:t>
      </w:r>
      <w:r>
        <w:t xml:space="preserve"> </w:t>
      </w:r>
      <w:r>
        <w:t xml:space="preserve">service is discovered by Tree-BFS in</w:t>
      </w:r>
      <w:r>
        <w:t xml:space="preserve"> </w:t>
      </w:r>
      <m:oMath>
        <m:r>
          <m:t>523</m:t>
        </m:r>
        <m:r>
          <m:rPr>
            <m:sty m:val="p"/>
          </m:rPr>
          <m:t>×</m:t>
        </m:r>
        <m:r>
          <m:t>4.29</m:t>
        </m:r>
        <m:r>
          <m:t> </m:t>
        </m:r>
        <m:r>
          <m:rPr>
            <m:sty m:val="p"/>
          </m:rPr>
          <m:t>s</m:t>
        </m:r>
        <m:r>
          <m:rPr>
            <m:sty m:val="p"/>
          </m:rPr>
          <m:t>≈</m:t>
        </m:r>
        <m:r>
          <m:t>37</m:t>
        </m:r>
      </m:oMath>
      <w:r>
        <w:t xml:space="preserve"> </w:t>
      </w:r>
      <w:r>
        <w:t xml:space="preserve">minutes sequentially, by SP-BFS in about 9.6 minutes, and by SP-BFS with</w:t>
      </w:r>
      <w:r>
        <w:t xml:space="preserve"> </w:t>
      </w:r>
      <m:oMath>
        <m:r>
          <m:t>c</m:t>
        </m:r>
        <m:r>
          <m:rPr>
            <m:sty m:val="p"/>
          </m:rPr>
          <m:t>=</m:t>
        </m:r>
        <m:r>
          <m:t>8</m:t>
        </m:r>
      </m:oMath>
      <w:r>
        <w:t xml:space="preserve"> </w:t>
      </w:r>
      <w:r>
        <w:t xml:space="preserve">in</w:t>
      </w:r>
      <w:r>
        <w:t xml:space="preserve"> </w:t>
      </w:r>
      <m:oMath>
        <m:r>
          <m:t>20.6</m:t>
        </m:r>
        <m:r>
          <m:rPr>
            <m:sty m:val="p"/>
          </m:rPr>
          <m:t>×</m:t>
        </m:r>
        <m:r>
          <m:t>4.29</m:t>
        </m:r>
        <m:r>
          <m:t> </m:t>
        </m:r>
        <m:r>
          <m:rPr>
            <m:sty m:val="p"/>
          </m:rPr>
          <m:t>s</m:t>
        </m:r>
        <m:r>
          <m:rPr>
            <m:sty m:val="p"/>
          </m:rPr>
          <m:t>≈</m:t>
        </m:r>
        <m:r>
          <m:t>88</m:t>
        </m:r>
      </m:oMath>
      <w:r>
        <w:t xml:space="preserve"> </w:t>
      </w:r>
      <w:r>
        <w:t xml:space="preserve">seconds, provided the BMC</w:t>
      </w:r>
      <w:r>
        <w:t xml:space="preserve"> </w:t>
      </w:r>
      <w:r>
        <w:t xml:space="preserve">sustains eight concurrent requests without slowing down. Real BMCs slow down</w:t>
      </w:r>
      <w:r>
        <w:t xml:space="preserve"> </w:t>
      </w:r>
      <w:r>
        <w:t xml:space="preserve">under concurrency, so the parallel figure is a lower bound, but the ordering of</w:t>
      </w:r>
      <w:r>
        <w:t xml:space="preserve"> </w:t>
      </w:r>
      <w:r>
        <w:t xml:space="preserve">the strategies does not depend on</w:t>
      </w:r>
      <w:r>
        <w:t xml:space="preserve"> </w:t>
      </w:r>
      <m:oMath>
        <m:acc>
          <m:accPr>
            <m:chr m:val="‾"/>
          </m:accPr>
          <m:e>
            <m:r>
              <m:rPr>
                <m:sty m:val="p"/>
              </m:rPr>
              <m:t>ℓ</m:t>
            </m:r>
          </m:e>
        </m:acc>
      </m:oMath>
      <w:r>
        <w:t xml:space="preserve">.</w:t>
      </w:r>
    </w:p>
    <w:p>
      <w:pPr>
        <w:pStyle w:val="BodyText"/>
      </w:pPr>
      <w:r>
        <w:rPr>
          <w:bCs/>
          <w:b/>
        </w:rPr>
        <w:t xml:space="preserve">Amortisation.</w:t>
      </w:r>
      <w:r>
        <w:t xml:space="preserve"> </w:t>
      </w:r>
      <w:r>
        <w:t xml:space="preserve">After discovery, each polling cycle fetches the poll</w:t>
      </w:r>
      <w:r>
        <w:t xml:space="preserve"> </w:t>
      </w:r>
      <w:r>
        <w:t xml:space="preserve">set: on average 47.8 resources per service for SP-BFS and Tree-BFS, and 47.2</w:t>
      </w:r>
      <w:r>
        <w:t xml:space="preserve"> </w:t>
      </w:r>
      <w:r>
        <w:t xml:space="preserve">for the less complete Static-union. By Eq. (5.7), the discovery cost</w:t>
      </w:r>
      <w:r>
        <w:t xml:space="preserve"> </w:t>
      </w:r>
      <w:r>
        <w:t xml:space="preserve">of 134 requests is spread over the polling cycles: after ten cycles it adds</w:t>
      </w:r>
      <w:r>
        <w:t xml:space="preserve"> </w:t>
      </w:r>
      <w:r>
        <w:t xml:space="preserve">only 13 requests per cycle, and with event-driven rediscovery</w:t>
      </w:r>
      <w:r>
        <w:t xml:space="preserve"> </w:t>
      </w:r>
      <w:r>
        <w:t xml:space="preserve">(Algorithm 3) it recurs only when the inventory changes. Re-running an</w:t>
      </w:r>
      <w:r>
        <w:t xml:space="preserve"> </w:t>
      </w:r>
      <w:r>
        <w:t xml:space="preserve">exhaustive Tree-BFS in every cycle, as a naive implementation of the original</w:t>
      </w:r>
      <w:r>
        <w:t xml:space="preserve"> </w:t>
      </w:r>
      <w:r>
        <w:t xml:space="preserve">tool would, costs eleven times the polling set per cycle.</w:t>
      </w:r>
    </w:p>
    <w:p>
      <w:pPr>
        <w:pStyle w:val="BodyText"/>
      </w:pPr>
      <w:r>
        <w:rPr>
          <w:bCs/>
          <w:b/>
        </w:rPr>
        <w:t xml:space="preserve">Answer to RQ4.</w:t>
      </w:r>
      <w:r>
        <w:t xml:space="preserve"> </w:t>
      </w:r>
      <w:r>
        <w:t xml:space="preserve">Unpruned BFS has poor time-to-first-answer on</w:t>
      </w:r>
      <w:r>
        <w:t xml:space="preserve"> </w:t>
      </w:r>
      <w:r>
        <w:t xml:space="preserve">Redfish because the upper tree levels are wide and irrelevant; pruning</w:t>
      </w:r>
      <w:r>
        <w:t xml:space="preserve"> </w:t>
      </w:r>
      <w:r>
        <w:t xml:space="preserve">fixes this (median 9 requests). The shallow trees make level-synchronous</w:t>
      </w:r>
      <w:r>
        <w:t xml:space="preserve"> </w:t>
      </w:r>
      <w:r>
        <w:t xml:space="preserve">parallelism effective, and the discovery cost is amortised after a few polling</w:t>
      </w:r>
      <w:r>
        <w:t xml:space="preserve"> </w:t>
      </w:r>
      <w:r>
        <w:t xml:space="preserve">cycles when discovery and polling are separated.</w:t>
      </w:r>
    </w:p>
    <w:bookmarkEnd w:id="80"/>
    <w:bookmarkStart w:id="82" w:name="shape-of-redfish-resource-trees"/>
    <w:p>
      <w:pPr>
        <w:pStyle w:val="Heading2"/>
      </w:pPr>
      <w:r>
        <w:t xml:space="preserve">7.6 Shape of Redfish Resource Trees</w:t>
      </w:r>
    </w:p>
    <w:p>
      <w:pPr>
        <w:pStyle w:val="CaptionedFigure"/>
      </w:pPr>
      <w:r>
        <w:drawing>
          <wp:inline>
            <wp:extent cx="5334000" cy="2157792"/>
            <wp:effectExtent b="0" l="0" r="0" t="0"/>
            <wp:docPr descr="Figure 7.7: Shape of the containment trees: resources per depth for each service, coloured by vendor family (left), and monitored components versus service size (right)." title="" id="1" name="Picture"/>
            <a:graphic>
              <a:graphicData uri="http://schemas.openxmlformats.org/drawingml/2006/picture">
                <pic:pic>
                  <pic:nvPicPr>
                    <pic:cNvPr descr="img/tree_shape.png" id="0" name="Picture"/>
                    <pic:cNvPicPr>
                      <a:picLocks noChangeArrowheads="1" noChangeAspect="1"/>
                    </pic:cNvPicPr>
                  </pic:nvPicPr>
                  <pic:blipFill>
                    <a:blip r:embed="rId81"/>
                    <a:stretch>
                      <a:fillRect/>
                    </a:stretch>
                  </pic:blipFill>
                  <pic:spPr bwMode="auto">
                    <a:xfrm>
                      <a:off x="0" y="0"/>
                      <a:ext cx="5334000" cy="2157792"/>
                    </a:xfrm>
                    <a:prstGeom prst="rect">
                      <a:avLst/>
                    </a:prstGeom>
                    <a:noFill/>
                    <a:ln w="9525">
                      <a:noFill/>
                      <a:headEnd/>
                      <a:tailEnd/>
                    </a:ln>
                  </pic:spPr>
                </pic:pic>
              </a:graphicData>
            </a:graphic>
          </wp:inline>
        </w:drawing>
      </w:r>
    </w:p>
    <w:p>
      <w:pPr>
        <w:pStyle w:val="ImageCaption"/>
      </w:pPr>
      <w:r>
        <w:t xml:space="preserve">Figure 7.7: Shape of the containment trees:</w:t>
      </w:r>
      <w:r>
        <w:t xml:space="preserve"> </w:t>
      </w:r>
      <w:r>
        <w:t xml:space="preserve">resources per depth for each service, coloured by vendor family (left), and</w:t>
      </w:r>
      <w:r>
        <w:t xml:space="preserve"> </w:t>
      </w:r>
      <w:r>
        <w:t xml:space="preserve">monitored components versus service size (right).</w:t>
      </w:r>
    </w:p>
    <w:p>
      <w:pPr>
        <w:pStyle w:val="BodyText"/>
      </w:pPr>
      <w:r>
        <w:t xml:space="preserve">The containment graphs are shallow and broad (Figure 7.7): all 26</w:t>
      </w:r>
      <w:r>
        <w:t xml:space="preserve"> </w:t>
      </w:r>
      <w:r>
        <w:t xml:space="preserve">services have height</w:t>
      </w:r>
      <w:r>
        <w:t xml:space="preserve"> </w:t>
      </w:r>
      <m:oMath>
        <m:r>
          <m:t>6</m:t>
        </m:r>
        <m:r>
          <m:rPr>
            <m:sty m:val="p"/>
          </m:rPr>
          <m:t>≤</m:t>
        </m:r>
        <m:r>
          <m:t>D</m:t>
        </m:r>
        <m:r>
          <m:rPr>
            <m:sty m:val="p"/>
          </m:rPr>
          <m:t>≤</m:t>
        </m:r>
        <m:r>
          <m:t>8</m:t>
        </m:r>
      </m:oMath>
      <w:r>
        <w:t xml:space="preserve">, and the number of resources per level</w:t>
      </w:r>
      <w:r>
        <w:t xml:space="preserve"> </w:t>
      </w:r>
      <w:r>
        <w:t xml:space="preserve">peaks at depth 2–5. The share of vertices with more than one containment</w:t>
      </w:r>
      <w:r>
        <w:t xml:space="preserve"> </w:t>
      </w:r>
      <w:r>
        <w:t xml:space="preserve">parent (Eq. (4.3)) is 3.1 % overall. It is highest on the HPE iLO 6/7</w:t>
      </w:r>
      <w:r>
        <w:t xml:space="preserve"> </w:t>
      </w:r>
      <w:r>
        <w:t xml:space="preserve">services (up to 9.3 %, e.g. drives linked from both chassis and storage) and on</w:t>
      </w:r>
      <w:r>
        <w:t xml:space="preserve"> </w:t>
      </w:r>
      <w:r>
        <w:t xml:space="preserve">the Gigabyte server (12.1 %, resources exposed both under a system and a</w:t>
      </w:r>
      <w:r>
        <w:t xml:space="preserve"> </w:t>
      </w:r>
      <w:r>
        <w:t xml:space="preserve">composition resource block). The almost-tree view is therefore justified, and</w:t>
      </w:r>
      <w:r>
        <w:t xml:space="preserve"> </w:t>
      </w:r>
      <w:r>
        <w:t xml:space="preserve">the</w:t>
      </w:r>
      <w:r>
        <w:t xml:space="preserve"> </w:t>
      </w:r>
      <w:r>
        <w:rPr>
          <w:iCs/>
          <w:i/>
        </w:rPr>
        <w:t xml:space="preserve">seen</w:t>
      </w:r>
      <w:r>
        <w:t xml:space="preserve"> </w:t>
      </w:r>
      <w:r>
        <w:t xml:space="preserve">set of Algorithm 2 deduplicates the remaining</w:t>
      </w:r>
      <w:r>
        <w:t xml:space="preserve"> </w:t>
      </w:r>
      <w:r>
        <w:t xml:space="preserve">multi-parent vertices. Services with more resources tend to have more monitored</w:t>
      </w:r>
      <w:r>
        <w:t xml:space="preserve"> </w:t>
      </w:r>
      <w:r>
        <w:t xml:space="preserve">components, but the relation is loose (right panel), because the bulk of</w:t>
      </w:r>
      <w:r>
        <w:t xml:space="preserve"> </w:t>
      </w:r>
      <w:r>
        <w:t xml:space="preserve">the resources is logs, registries and schemas. The number of monitored</w:t>
      </w:r>
      <w:r>
        <w:t xml:space="preserve"> </w:t>
      </w:r>
      <w:r>
        <w:t xml:space="preserve">components alone therefore predicts discovery cost poorly, which is one more</w:t>
      </w:r>
      <w:r>
        <w:t xml:space="preserve"> </w:t>
      </w:r>
      <w:r>
        <w:t xml:space="preserve">argument for pruning by type rather than by size. Finally, 120 resources on</w:t>
      </w:r>
      <w:r>
        <w:t xml:space="preserve"> </w:t>
      </w:r>
      <w:r>
        <w:t xml:space="preserve">13 services (mostly HPE and Cray) have no</w:t>
      </w:r>
      <w:r>
        <w:t xml:space="preserve"> </w:t>
      </w:r>
      <w:r>
        <w:rPr>
          <w:rStyle w:val="VerbatimChar"/>
        </w:rPr>
        <w:t xml:space="preserve">@odata.type</w:t>
      </w:r>
      <w:r>
        <w:t xml:space="preserve">; SP-BFS expands</w:t>
      </w:r>
      <w:r>
        <w:t xml:space="preserve"> </w:t>
      </w:r>
      <w:r>
        <w:t xml:space="preserve">them conservatively.</w:t>
      </w:r>
    </w:p>
    <w:bookmarkEnd w:id="82"/>
    <w:bookmarkStart w:id="86" w:name="discussion"/>
    <w:p>
      <w:pPr>
        <w:pStyle w:val="Heading2"/>
      </w:pPr>
      <w:r>
        <w:t xml:space="preserve">7.7 Discussion</w:t>
      </w:r>
    </w:p>
    <w:bookmarkStart w:id="83" w:name="uri-patterns-versus-type-based-search"/>
    <w:p>
      <w:pPr>
        <w:pStyle w:val="Heading3"/>
      </w:pPr>
      <w:r>
        <w:t xml:space="preserve">7.7.1 URI patterns versus type-based search</w:t>
      </w:r>
    </w:p>
    <w:p>
      <w:pPr>
        <w:pStyle w:val="FirstParagraph"/>
      </w:pPr>
      <w:r>
        <w:t xml:space="preserve">Since protocol version 1.6.0, conforming services must implement the URI</w:t>
      </w:r>
      <w:r>
        <w:t xml:space="preserve"> </w:t>
      </w:r>
      <w:r>
        <w:t xml:space="preserve">patterns published in the schema (Section 3.2). One might therefore</w:t>
      </w:r>
      <w:r>
        <w:t xml:space="preserve"> </w:t>
      </w:r>
      <w:r>
        <w:t xml:space="preserve">replace discovery by expanding the patterns. The patterns do not remove the</w:t>
      </w:r>
      <w:r>
        <w:t xml:space="preserve"> </w:t>
      </w:r>
      <w:r>
        <w:t xml:space="preserve">search, however. Each pattern contains identifier variables that must be bound</w:t>
      </w:r>
      <w:r>
        <w:t xml:space="preserve"> </w:t>
      </w:r>
      <w:r>
        <w:t xml:space="preserve">by reading collections, and the patterns of one type are alternatives (21 for</w:t>
      </w:r>
      <w:r>
        <w:t xml:space="preserve"> </w:t>
      </w:r>
      <w:r>
        <w:rPr>
          <w:rStyle w:val="VerbatimChar"/>
        </w:rPr>
        <w:t xml:space="preserve">Processor</w:t>
      </w:r>
      <w:r>
        <w:t xml:space="preserve">, 8 for</w:t>
      </w:r>
      <w:r>
        <w:t xml:space="preserve"> </w:t>
      </w:r>
      <w:r>
        <w:rPr>
          <w:rStyle w:val="VerbatimChar"/>
        </w:rPr>
        <w:t xml:space="preserve">Drive</w:t>
      </w:r>
      <w:r>
        <w:t xml:space="preserve">), so the client still has to probe which of them</w:t>
      </w:r>
      <w:r>
        <w:t xml:space="preserve"> </w:t>
      </w:r>
      <w:r>
        <w:t xml:space="preserve">the service implements. This amounts to a tree search guided by string templates</w:t>
      </w:r>
      <w:r>
        <w:t xml:space="preserve"> </w:t>
      </w:r>
      <w:r>
        <w:t xml:space="preserve">instead of types. The Dell services in our data, at protocol version 1.0.2,</w:t>
      </w:r>
      <w:r>
        <w:t xml:space="preserve"> </w:t>
      </w:r>
      <w:r>
        <w:t xml:space="preserve">predate the patterns and use URIs such as</w:t>
      </w:r>
      <w:r>
        <w:t xml:space="preserve"> </w:t>
      </w:r>
      <w:r>
        <w:rPr>
          <w:rStyle w:val="VerbatimChar"/>
        </w:rPr>
        <w:t xml:space="preserve">/redfish/v1/Chassis/System.Embedded.1/Sensors/Fans/0x17||Fan.Embedded.1</w:t>
      </w:r>
      <w:r>
        <w:t xml:space="preserve"> </w:t>
      </w:r>
      <w:r>
        <w:t xml:space="preserve">that</w:t>
      </w:r>
      <w:r>
        <w:t xml:space="preserve"> </w:t>
      </w:r>
      <w:r>
        <w:t xml:space="preserve">match none of them. URI patterns can still help SP-BFS: where a service</w:t>
      </w:r>
      <w:r>
        <w:t xml:space="preserve"> </w:t>
      </w:r>
      <w:r>
        <w:t xml:space="preserve">declares version</w:t>
      </w:r>
      <w:r>
        <w:t xml:space="preserve"> </w:t>
      </w:r>
      <m:oMath>
        <m:r>
          <m:rPr>
            <m:sty m:val="p"/>
          </m:rPr>
          <m:t>≥</m:t>
        </m:r>
        <m:r>
          <m:t>1.6</m:t>
        </m:r>
        <m:r>
          <m:t>.0</m:t>
        </m:r>
      </m:oMath>
      <w:r>
        <w:t xml:space="preserve">, a pattern proves that a type cannot occur below a</w:t>
      </w:r>
      <w:r>
        <w:t xml:space="preserve"> </w:t>
      </w:r>
      <w:r>
        <w:t xml:space="preserve">certain path, which could tighten the type graph further.</w:t>
      </w:r>
    </w:p>
    <w:bookmarkEnd w:id="83"/>
    <w:bookmarkStart w:id="84" w:name="why-not-follow-links-or-use-expand"/>
    <w:p>
      <w:pPr>
        <w:pStyle w:val="Heading3"/>
      </w:pPr>
      <w:r>
        <w:t xml:space="preserve">7.7.2 Why not follow Links or use</w:t>
      </w:r>
      <w:r>
        <w:t xml:space="preserve"> </w:t>
      </w:r>
      <w:r>
        <w:rPr>
          <w:rStyle w:val="VerbatimChar"/>
        </w:rPr>
        <w:t xml:space="preserve">$expand</w:t>
      </w:r>
      <w:r>
        <w:t xml:space="preserve">?</w:t>
      </w:r>
    </w:p>
    <w:p>
      <w:pPr>
        <w:pStyle w:val="FirstParagraph"/>
      </w:pPr>
      <w:r>
        <w:t xml:space="preserve">Following</w:t>
      </w:r>
      <w:r>
        <w:t xml:space="preserve"> </w:t>
      </w:r>
      <w:r>
        <w:rPr>
          <w:rStyle w:val="VerbatimChar"/>
        </w:rPr>
        <w:t xml:space="preserve">Links</w:t>
      </w:r>
      <w:r>
        <w:t xml:space="preserve"> </w:t>
      </w:r>
      <w:r>
        <w:t xml:space="preserve">would recover the six components that no containment path</w:t>
      </w:r>
      <w:r>
        <w:t xml:space="preserve"> </w:t>
      </w:r>
      <w:r>
        <w:t xml:space="preserve">reaches. But cross references connect almost every hardware resource to its</w:t>
      </w:r>
      <w:r>
        <w:t xml:space="preserve"> </w:t>
      </w:r>
      <w:r>
        <w:t xml:space="preserve">chassis and system, so the traversal would visit most of the graph again</w:t>
      </w:r>
      <w:r>
        <w:t xml:space="preserve"> </w:t>
      </w:r>
      <w:r>
        <w:t xml:space="preserve">(the ground-truth crawl needed 18</w:t>
      </w:r>
      <w:r>
        <w:t xml:space="preserve">,</w:t>
      </w:r>
      <w:r>
        <w:t xml:space="preserve">205 requests, 5.2 times as many as SP-BFS).</w:t>
      </w:r>
      <w:r>
        <w:t xml:space="preserve"> </w:t>
      </w:r>
      <w:r>
        <w:t xml:space="preserve">A practical compromise is to follow only those cross references whose target</w:t>
      </w:r>
      <w:r>
        <w:t xml:space="preserve"> </w:t>
      </w:r>
      <w:r>
        <w:t xml:space="preserve">type is an anchor type, which the schema also describes.</w:t>
      </w:r>
      <w:r>
        <w:t xml:space="preserve"> </w:t>
      </w:r>
      <w:r>
        <w:rPr>
          <w:rStyle w:val="VerbatimChar"/>
        </w:rPr>
        <w:t xml:space="preserve">$expand</w:t>
      </w:r>
      <w:r>
        <w:t xml:space="preserve"> </w:t>
      </w:r>
      <w:r>
        <w:t xml:space="preserve">would</w:t>
      </w:r>
      <w:r>
        <w:t xml:space="preserve"> </w:t>
      </w:r>
      <w:r>
        <w:t xml:space="preserve">reduce the number of round trips further, but it is optional and inconsistently</w:t>
      </w:r>
      <w:r>
        <w:t xml:space="preserve"> </w:t>
      </w:r>
      <w:r>
        <w:t xml:space="preserve">implemented, so it can only be an optimisation on top of the traversal, not a</w:t>
      </w:r>
      <w:r>
        <w:t xml:space="preserve"> </w:t>
      </w:r>
      <w:r>
        <w:t xml:space="preserve">replacement.</w:t>
      </w:r>
    </w:p>
    <w:bookmarkEnd w:id="84"/>
    <w:bookmarkStart w:id="85" w:name="threats-to-validity"/>
    <w:p>
      <w:pPr>
        <w:pStyle w:val="Heading3"/>
      </w:pPr>
      <w:r>
        <w:t xml:space="preserve">7.7.3 Threats to validity</w:t>
      </w:r>
    </w:p>
    <w:p>
      <w:pPr>
        <w:pStyle w:val="FirstParagraph"/>
      </w:pPr>
      <w:r>
        <w:rPr>
          <w:bCs/>
          <w:b/>
        </w:rPr>
        <w:t xml:space="preserve">Internal validity.</w:t>
      </w:r>
      <w:r>
        <w:t xml:space="preserve"> </w:t>
      </w:r>
      <w:r>
        <w:t xml:space="preserve">The ground truth is defined by the same query</w:t>
      </w:r>
      <w:r>
        <w:t xml:space="preserve"> </w:t>
      </w:r>
      <w:r>
        <w:t xml:space="preserve">predicates as the strategies, so recall measures</w:t>
      </w:r>
      <w:r>
        <w:t xml:space="preserve"> </w:t>
      </w:r>
      <w:r>
        <w:rPr>
          <w:iCs/>
          <w:i/>
        </w:rPr>
        <w:t xml:space="preserve">reachability</w:t>
      </w:r>
      <w:r>
        <w:t xml:space="preserve"> </w:t>
      </w:r>
      <w:r>
        <w:t xml:space="preserve">of the</w:t>
      </w:r>
      <w:r>
        <w:t xml:space="preserve"> </w:t>
      </w:r>
      <w:r>
        <w:t xml:space="preserve">components, not the correctness of the query definitions. We checked the</w:t>
      </w:r>
      <w:r>
        <w:t xml:space="preserve"> </w:t>
      </w:r>
      <w:r>
        <w:t xml:space="preserve">query definitions manually on several services. The categories and the</w:t>
      </w:r>
      <w:r>
        <w:t xml:space="preserve"> </w:t>
      </w:r>
      <w:r>
        <w:t xml:space="preserve">predicate that excludes cores and threads reflect the needs of the author’s</w:t>
      </w:r>
      <w:r>
        <w:t xml:space="preserve"> </w:t>
      </w:r>
      <w:r>
        <w:t xml:space="preserve">monitoring tool; other choices would change the absolute numbers, not the</w:t>
      </w:r>
      <w:r>
        <w:t xml:space="preserve"> </w:t>
      </w:r>
      <w:r>
        <w:t xml:space="preserve">comparison. The static baselines were written by us from the schema. A</w:t>
      </w:r>
      <w:r>
        <w:t xml:space="preserve"> </w:t>
      </w:r>
      <w:r>
        <w:t xml:space="preserve">developer with different habits might write different paths, but</w:t>
      </w:r>
      <w:r>
        <w:t xml:space="preserve"> </w:t>
      </w:r>
      <w:r>
        <w:t xml:space="preserve">Static-union already covers both schema generations and all paths the</w:t>
      </w:r>
      <w:r>
        <w:t xml:space="preserve"> </w:t>
      </w:r>
      <w:r>
        <w:t xml:space="preserve">tools of Section 3.1 use.</w:t>
      </w:r>
    </w:p>
    <w:p>
      <w:pPr>
        <w:pStyle w:val="BodyText"/>
      </w:pPr>
      <w:r>
        <w:rPr>
          <w:bCs/>
          <w:b/>
        </w:rPr>
        <w:t xml:space="preserve">External validity.</w:t>
      </w:r>
      <w:r>
        <w:t xml:space="preserve"> </w:t>
      </w:r>
      <w:r>
        <w:t xml:space="preserve">The 26 services come from six vendor families</w:t>
      </w:r>
      <w:r>
        <w:t xml:space="preserve"> </w:t>
      </w:r>
      <w:r>
        <w:t xml:space="preserve">but are dominated by HPE (13 services including Cray). Lenovo, Supermicro,</w:t>
      </w:r>
      <w:r>
        <w:t xml:space="preserve"> </w:t>
      </w:r>
      <w:r>
        <w:t xml:space="preserve">Fujitsu, Inspur and current Dell iDRAC 9 firmware are not represented because</w:t>
      </w:r>
      <w:r>
        <w:t xml:space="preserve"> </w:t>
      </w:r>
      <w:r>
        <w:t xml:space="preserve">no public mockups were available; several of them are known to have their own</w:t>
      </w:r>
      <w:r>
        <w:t xml:space="preserve"> </w:t>
      </w:r>
      <w:r>
        <w:t xml:space="preserve">placement conventions. Mockups are complete recordings, but some may have been</w:t>
      </w:r>
      <w:r>
        <w:t xml:space="preserve"> </w:t>
      </w:r>
      <w:r>
        <w:t xml:space="preserve">edited by their publishers to remove serial numbers or to shorten logs, which</w:t>
      </w:r>
      <w:r>
        <w:t xml:space="preserve"> </w:t>
      </w:r>
      <w:r>
        <w:t xml:space="preserve">affects Tree-BFS cost (and makes it an underestimate) but not the answer sets.</w:t>
      </w:r>
    </w:p>
    <w:p>
      <w:pPr>
        <w:pStyle w:val="BodyText"/>
      </w:pPr>
      <w:r>
        <w:rPr>
          <w:bCs/>
          <w:b/>
        </w:rPr>
        <w:t xml:space="preserve">Construct validity.</w:t>
      </w:r>
      <w:r>
        <w:t xml:space="preserve"> </w:t>
      </w:r>
      <w:r>
        <w:t xml:space="preserve">Request count is a proxy for time and BMC</w:t>
      </w:r>
      <w:r>
        <w:t xml:space="preserve"> </w:t>
      </w:r>
      <w:r>
        <w:t xml:space="preserve">load. The latency model uses a single published average, which ignores the</w:t>
      </w:r>
      <w:r>
        <w:t xml:space="preserve"> </w:t>
      </w:r>
      <w:r>
        <w:t xml:space="preserve">difference between cheap and expensive resources (collections with many</w:t>
      </w:r>
      <w:r>
        <w:t xml:space="preserve"> </w:t>
      </w:r>
      <w:r>
        <w:t xml:space="preserve">members, sensor readings requiring bus transactions) and the degradation</w:t>
      </w:r>
      <w:r>
        <w:t xml:space="preserve"> </w:t>
      </w:r>
      <w:r>
        <w:t xml:space="preserve">of BMCs under concurrency. Measurements on live hardware are needed to turn</w:t>
      </w:r>
      <w:r>
        <w:t xml:space="preserve"> </w:t>
      </w:r>
      <w:r>
        <w:t xml:space="preserve">the request and round counts into reliable wall-clock numbers.</w:t>
      </w:r>
    </w:p>
    <w:bookmarkEnd w:id="85"/>
    <w:bookmarkEnd w:id="86"/>
    <w:bookmarkEnd w:id="87"/>
    <w:bookmarkStart w:id="91" w:name="conclusion"/>
    <w:p>
      <w:pPr>
        <w:pStyle w:val="Heading1"/>
      </w:pPr>
      <w:r>
        <w:t xml:space="preserve">8 Conclusion</w:t>
      </w:r>
    </w:p>
    <w:bookmarkStart w:id="88" w:name="summary-1"/>
    <w:p>
      <w:pPr>
        <w:pStyle w:val="Heading2"/>
      </w:pPr>
      <w:r>
        <w:t xml:space="preserve">8.1 Summary</w:t>
      </w:r>
    </w:p>
    <w:p>
      <w:pPr>
        <w:pStyle w:val="FirstParagraph"/>
      </w:pPr>
      <w:r>
        <w:t xml:space="preserve">This thesis started from a practical difficulty met while building a Redfish</w:t>
      </w:r>
      <w:r>
        <w:t xml:space="preserve"> </w:t>
      </w:r>
      <w:r>
        <w:t xml:space="preserve">hardware monitoring tool: deciding which REST resource to call for storage,</w:t>
      </w:r>
      <w:r>
        <w:t xml:space="preserve"> </w:t>
      </w:r>
      <w:r>
        <w:t xml:space="preserve">network, power, processors and the other components, when the answer depends</w:t>
      </w:r>
      <w:r>
        <w:t xml:space="preserve"> </w:t>
      </w:r>
      <w:r>
        <w:t xml:space="preserve">on the vendor, the firmware generation and the schema version of each server.</w:t>
      </w:r>
      <w:r>
        <w:t xml:space="preserve"> </w:t>
      </w:r>
      <w:r>
        <w:t xml:space="preserve">Instead of maintaining a growing table of vendor-specific paths, the tool</w:t>
      </w:r>
      <w:r>
        <w:t xml:space="preserve"> </w:t>
      </w:r>
      <w:r>
        <w:t xml:space="preserve">converts the Redfish service into a tree and finds components by breadth-first</w:t>
      </w:r>
      <w:r>
        <w:t xml:space="preserve"> </w:t>
      </w:r>
      <w:r>
        <w:t xml:space="preserve">search on their schema type. The thesis developed this idea into a method with</w:t>
      </w:r>
      <w:r>
        <w:t xml:space="preserve"> </w:t>
      </w:r>
      <w:r>
        <w:t xml:space="preserve">guarantees and evaluated it on real service data.</w:t>
      </w:r>
    </w:p>
    <w:p>
      <w:pPr>
        <w:numPr>
          <w:ilvl w:val="0"/>
          <w:numId w:val="1008"/>
        </w:numPr>
      </w:pPr>
      <w:r>
        <w:t xml:space="preserve">We modelled a Redfish service as a typed resource graph whose</w:t>
      </w:r>
      <w:r>
        <w:t xml:space="preserve"> </w:t>
      </w:r>
      <w:r>
        <w:t xml:space="preserve">containment edges form an almost-tree (3.1 % multi-parent vertices, height</w:t>
      </w:r>
      <w:r>
        <w:t xml:space="preserve"> </w:t>
      </w:r>
      <w:r>
        <w:t xml:space="preserve">6–8), and monitored component classes as declarative queries over</w:t>
      </w:r>
      <w:r>
        <w:t xml:space="preserve"> </w:t>
      </w:r>
      <w:r>
        <w:t xml:space="preserve">types, embedded locations and predicates.</w:t>
      </w:r>
    </w:p>
    <w:p>
      <w:pPr>
        <w:numPr>
          <w:ilvl w:val="0"/>
          <w:numId w:val="1008"/>
        </w:numPr>
      </w:pPr>
      <w:r>
        <w:t xml:space="preserve">We showed on 26 services from six vendor families and protocol</w:t>
      </w:r>
      <w:r>
        <w:t xml:space="preserve"> </w:t>
      </w:r>
      <w:r>
        <w:t xml:space="preserve">versions 1.0.2–1.20.0 that placement heterogeneity is real: hard-coded</w:t>
      </w:r>
      <w:r>
        <w:t xml:space="preserve"> </w:t>
      </w:r>
      <w:r>
        <w:t xml:space="preserve">navigation for one schema generation finds only 49–78 % of the</w:t>
      </w:r>
      <w:r>
        <w:t xml:space="preserve"> </w:t>
      </w:r>
      <w:r>
        <w:t xml:space="preserve">2</w:t>
      </w:r>
      <w:r>
        <w:t xml:space="preserve">,</w:t>
      </w:r>
      <w:r>
        <w:t xml:space="preserve">248 components, and even a union of both generations misses drives on</w:t>
      </w:r>
      <w:r>
        <w:t xml:space="preserve"> </w:t>
      </w:r>
      <w:r>
        <w:t xml:space="preserve">three HPE servers.</w:t>
      </w:r>
    </w:p>
    <w:p>
      <w:pPr>
        <w:numPr>
          <w:ilvl w:val="0"/>
          <w:numId w:val="1008"/>
        </w:numPr>
      </w:pPr>
      <w:r>
        <w:t xml:space="preserve">Type-based tree search finds 99.7 % of the components on every vendor</w:t>
      </w:r>
      <w:r>
        <w:t xml:space="preserve"> </w:t>
      </w:r>
      <w:r>
        <w:t xml:space="preserve">and version with no vendor-specific code; the rest is reachable only</w:t>
      </w:r>
      <w:r>
        <w:t xml:space="preserve"> </w:t>
      </w:r>
      <w:r>
        <w:t xml:space="preserve">through</w:t>
      </w:r>
      <w:r>
        <w:t xml:space="preserve"> </w:t>
      </w:r>
      <w:r>
        <w:rPr>
          <w:rStyle w:val="VerbatimChar"/>
        </w:rPr>
        <w:t xml:space="preserve">Links</w:t>
      </w:r>
      <w:r>
        <w:t xml:space="preserve"> </w:t>
      </w:r>
      <w:r>
        <w:t xml:space="preserve">or OEM extensions.</w:t>
      </w:r>
    </w:p>
    <w:p>
      <w:pPr>
        <w:numPr>
          <w:ilvl w:val="0"/>
          <w:numId w:val="1008"/>
        </w:numPr>
      </w:pPr>
      <w:r>
        <w:t xml:space="preserve">Schema-pruned BFS (SP-BFS) uses a type reachability graph derived</w:t>
      </w:r>
      <w:r>
        <w:t xml:space="preserve"> </w:t>
      </w:r>
      <w:r>
        <w:t xml:space="preserve">automatically from the DMTF schema bundle to skip every branch that</w:t>
      </w:r>
      <w:r>
        <w:t xml:space="preserve"> </w:t>
      </w:r>
      <w:r>
        <w:t xml:space="preserve">cannot contain a requested type. It is provably sound on</w:t>
      </w:r>
      <w:r>
        <w:t xml:space="preserve"> </w:t>
      </w:r>
      <w:r>
        <w:t xml:space="preserve">schema-conformant services and fetches only resources that any</w:t>
      </w:r>
      <w:r>
        <w:t xml:space="preserve"> </w:t>
      </w:r>
      <w:r>
        <w:t xml:space="preserve">schema-only algorithm must fetch. It lost no component on any service,</w:t>
      </w:r>
      <w:r>
        <w:t xml:space="preserve"> </w:t>
      </w:r>
      <w:r>
        <w:t xml:space="preserve">cut requests by a factor of five per service (geometric mean) relative</w:t>
      </w:r>
      <w:r>
        <w:t xml:space="preserve"> </w:t>
      </w:r>
      <w:r>
        <w:t xml:space="preserve">to exhaustive BFS, and came within a factor of 1.22 of a hand-maintained</w:t>
      </w:r>
      <w:r>
        <w:t xml:space="preserve"> </w:t>
      </w:r>
      <w:r>
        <w:t xml:space="preserve">static client.</w:t>
      </w:r>
    </w:p>
    <w:p>
      <w:pPr>
        <w:numPr>
          <w:ilvl w:val="0"/>
          <w:numId w:val="1008"/>
        </w:numPr>
      </w:pPr>
      <w:r>
        <w:t xml:space="preserve">Unpruned BFS reaches its first answer later than DFS on Redfish,</w:t>
      </w:r>
      <w:r>
        <w:t xml:space="preserve"> </w:t>
      </w:r>
      <w:r>
        <w:t xml:space="preserve">because the shallow levels are wide and irrelevant; pruning reduces the</w:t>
      </w:r>
      <w:r>
        <w:t xml:space="preserve"> </w:t>
      </w:r>
      <w:r>
        <w:t xml:space="preserve">median time to first answer from 234 to 9 requests. The shallow trees</w:t>
      </w:r>
      <w:r>
        <w:t xml:space="preserve"> </w:t>
      </w:r>
      <w:r>
        <w:t xml:space="preserve">make level-synchronous parallel fetching effective, and separating</w:t>
      </w:r>
      <w:r>
        <w:t xml:space="preserve"> </w:t>
      </w:r>
      <w:r>
        <w:t xml:space="preserve">discovery from polling amortises the remaining cost.</w:t>
      </w:r>
    </w:p>
    <w:p>
      <w:pPr>
        <w:pStyle w:val="FirstParagraph"/>
      </w:pPr>
      <w:r>
        <w:t xml:space="preserve">The answer to the research problem is therefore positive: a monitoring client</w:t>
      </w:r>
      <w:r>
        <w:t xml:space="preserve"> </w:t>
      </w:r>
      <w:r>
        <w:t xml:space="preserve">can locate all instances of a hardware class in an arbitrary Redfish service</w:t>
      </w:r>
      <w:r>
        <w:t xml:space="preserve"> </w:t>
      </w:r>
      <w:r>
        <w:t xml:space="preserve">without vendor-specific navigation code, at a request cost close to that of a</w:t>
      </w:r>
      <w:r>
        <w:t xml:space="preserve"> </w:t>
      </w:r>
      <w:r>
        <w:t xml:space="preserve">hand-written client, by letting the published schema guide a breadth-first</w:t>
      </w:r>
      <w:r>
        <w:t xml:space="preserve"> </w:t>
      </w:r>
      <w:r>
        <w:t xml:space="preserve">search. For practitioners the recommendation is simple: describe</w:t>
      </w:r>
      <w:r>
        <w:t xml:space="preserve"> </w:t>
      </w:r>
      <w:r>
        <w:rPr>
          <w:iCs/>
          <w:i/>
        </w:rPr>
        <w:t xml:space="preserve">what</w:t>
      </w:r>
      <w:r>
        <w:t xml:space="preserve"> </w:t>
      </w:r>
      <w:r>
        <w:t xml:space="preserve">you monitor, not</w:t>
      </w:r>
      <w:r>
        <w:t xml:space="preserve"> </w:t>
      </w:r>
      <w:r>
        <w:rPr>
          <w:iCs/>
          <w:i/>
        </w:rPr>
        <w:t xml:space="preserve">where</w:t>
      </w:r>
      <w:r>
        <w:t xml:space="preserve"> </w:t>
      </w:r>
      <w:r>
        <w:t xml:space="preserve">it lives, and let the schema tell the client</w:t>
      </w:r>
      <w:r>
        <w:t xml:space="preserve"> </w:t>
      </w:r>
      <w:r>
        <w:t xml:space="preserve">which links are worth following.</w:t>
      </w:r>
    </w:p>
    <w:bookmarkEnd w:id="88"/>
    <w:bookmarkStart w:id="89" w:name="limitations"/>
    <w:p>
      <w:pPr>
        <w:pStyle w:val="Heading2"/>
      </w:pPr>
      <w:r>
        <w:t xml:space="preserve">8.2 Limitations</w:t>
      </w:r>
    </w:p>
    <w:p>
      <w:pPr>
        <w:pStyle w:val="FirstParagraph"/>
      </w:pPr>
      <w:r>
        <w:t xml:space="preserve">The evaluation relies on recorded services, so wall-clock effects (latency,</w:t>
      </w:r>
      <w:r>
        <w:t xml:space="preserve"> </w:t>
      </w:r>
      <w:r>
        <w:t xml:space="preserve">throttling, degradation under concurrency) are modelled rather than measured.</w:t>
      </w:r>
      <w:r>
        <w:t xml:space="preserve"> </w:t>
      </w:r>
      <w:r>
        <w:t xml:space="preserve">The dataset is dominated by HPE and lacks Lenovo, Supermicro and current Dell</w:t>
      </w:r>
      <w:r>
        <w:t xml:space="preserve"> </w:t>
      </w:r>
      <w:r>
        <w:t xml:space="preserve">firmware. SP-BFS is sound only relative to the containment tree; components</w:t>
      </w:r>
      <w:r>
        <w:t xml:space="preserve"> </w:t>
      </w:r>
      <w:r>
        <w:t xml:space="preserve">that a service exposes solely via</w:t>
      </w:r>
      <w:r>
        <w:t xml:space="preserve"> </w:t>
      </w:r>
      <w:r>
        <w:rPr>
          <w:rStyle w:val="VerbatimChar"/>
        </w:rPr>
        <w:t xml:space="preserve">Links</w:t>
      </w:r>
      <w:r>
        <w:t xml:space="preserve"> </w:t>
      </w:r>
      <w:r>
        <w:t xml:space="preserve">or OEM subtrees are not found.</w:t>
      </w:r>
      <w:r>
        <w:t xml:space="preserve"> </w:t>
      </w:r>
      <w:r>
        <w:t xml:space="preserve">The type graph over-approximates containment because the JSON Schema does not</w:t>
      </w:r>
      <w:r>
        <w:t xml:space="preserve"> </w:t>
      </w:r>
      <w:r>
        <w:t xml:space="preserve">distinguish contained resources from referenced ones outside</w:t>
      </w:r>
      <w:r>
        <w:t xml:space="preserve"> </w:t>
      </w:r>
      <w:r>
        <w:rPr>
          <w:rStyle w:val="VerbatimChar"/>
        </w:rPr>
        <w:t xml:space="preserve">Links</w:t>
      </w:r>
      <w:r>
        <w:t xml:space="preserve">, which</w:t>
      </w:r>
      <w:r>
        <w:t xml:space="preserve"> </w:t>
      </w:r>
      <w:r>
        <w:t xml:space="preserve">costs requests (e.g. below network device functions) but not completeness.</w:t>
      </w:r>
    </w:p>
    <w:bookmarkEnd w:id="89"/>
    <w:bookmarkStart w:id="90" w:name="future-work"/>
    <w:p>
      <w:pPr>
        <w:pStyle w:val="Heading2"/>
      </w:pPr>
      <w:r>
        <w:t xml:space="preserve">8.3 Future Work</w:t>
      </w:r>
    </w:p>
    <w:p>
      <w:pPr>
        <w:numPr>
          <w:ilvl w:val="0"/>
          <w:numId w:val="1009"/>
        </w:numPr>
      </w:pPr>
      <w:r>
        <w:rPr>
          <w:bCs/>
          <w:b/>
        </w:rPr>
        <w:t xml:space="preserve">Live measurements.</w:t>
      </w:r>
      <w:r>
        <w:t xml:space="preserve"> </w:t>
      </w:r>
      <w:r>
        <w:t xml:space="preserve">Run SP-BFS and the baselines against a</w:t>
      </w:r>
      <w:r>
        <w:t xml:space="preserve"> </w:t>
      </w:r>
      <w:r>
        <w:t xml:space="preserve">fleet of live BMCs to measure latency distributions, the effect of</w:t>
      </w:r>
      <w:r>
        <w:t xml:space="preserve"> </w:t>
      </w:r>
      <w:r>
        <w:t xml:space="preserve">concurrency on BMC response times, and the resulting optimal</w:t>
      </w:r>
      <w:r>
        <w:t xml:space="preserve"> </w:t>
      </w:r>
      <m:oMath>
        <m:r>
          <m:t>c</m:t>
        </m:r>
      </m:oMath>
      <w:r>
        <w:t xml:space="preserve"> </w:t>
      </w:r>
      <w:r>
        <w:t xml:space="preserve">per</w:t>
      </w:r>
      <w:r>
        <w:t xml:space="preserve"> </w:t>
      </w:r>
      <w:r>
        <w:t xml:space="preserve">vendor.</w:t>
      </w:r>
    </w:p>
    <w:p>
      <w:pPr>
        <w:numPr>
          <w:ilvl w:val="0"/>
          <w:numId w:val="1009"/>
        </w:numPr>
      </w:pPr>
      <w:r>
        <w:rPr>
          <w:bCs/>
          <w:b/>
        </w:rPr>
        <w:t xml:space="preserve">Tighter type graphs.</w:t>
      </w:r>
      <w:r>
        <w:t xml:space="preserve"> </w:t>
      </w:r>
      <w:r>
        <w:t xml:space="preserve">Use the CSDL containment annotation</w:t>
      </w:r>
      <w:r>
        <w:t xml:space="preserve"> </w:t>
      </w:r>
      <w:r>
        <w:rPr>
          <w:rStyle w:val="VerbatimChar"/>
        </w:rPr>
        <w:t xml:space="preserve">ContainsTarget</w:t>
      </w:r>
      <w:r>
        <w:t xml:space="preserve">, and the URI patterns of services at version</w:t>
      </w:r>
      <w:r>
        <w:t xml:space="preserve"> </w:t>
      </w:r>
      <m:oMath>
        <m:r>
          <m:rPr>
            <m:sty m:val="p"/>
          </m:rPr>
          <m:t>≥</m:t>
        </m:r>
        <m:r>
          <m:t>1.6</m:t>
        </m:r>
        <m:r>
          <m:t>.0</m:t>
        </m:r>
      </m:oMath>
      <w:r>
        <w:t xml:space="preserve">, to remove reference-only edges from</w:t>
      </w:r>
      <w:r>
        <w:t xml:space="preserve"> </w:t>
      </w:r>
      <m:oMath>
        <m:r>
          <m:t>H</m:t>
        </m:r>
      </m:oMath>
      <w:r>
        <w:t xml:space="preserve">. In the 2026.2 bundle</w:t>
      </w:r>
      <w:r>
        <w:t xml:space="preserve"> </w:t>
      </w:r>
      <w:r>
        <w:t xml:space="preserve">only 214 of 1</w:t>
      </w:r>
      <w:r>
        <w:t xml:space="preserve">,</w:t>
      </w:r>
      <w:r>
        <w:t xml:space="preserve">030 navigation-property declarations carry</w:t>
      </w:r>
      <w:r>
        <w:t xml:space="preserve"> </w:t>
      </w:r>
      <w:r>
        <w:rPr>
          <w:rStyle w:val="VerbatimChar"/>
        </w:rPr>
        <w:t xml:space="preserve">ContainsTarget</w:t>
      </w:r>
      <w:r>
        <w:t xml:space="preserve">, so this requires either schema improvements or a</w:t>
      </w:r>
      <w:r>
        <w:t xml:space="preserve"> </w:t>
      </w:r>
      <w:r>
        <w:t xml:space="preserve">learned model of which edges are containment in practice.</w:t>
      </w:r>
    </w:p>
    <w:p>
      <w:pPr>
        <w:numPr>
          <w:ilvl w:val="0"/>
          <w:numId w:val="1009"/>
        </w:numPr>
      </w:pPr>
      <w:r>
        <w:rPr>
          <w:bCs/>
          <w:b/>
        </w:rPr>
        <w:t xml:space="preserve">Predicate-aware pruning.</w:t>
      </w:r>
      <w:r>
        <w:t xml:space="preserve"> </w:t>
      </w:r>
      <w:r>
        <w:t xml:space="preserve">Propagate content predicates such as</w:t>
      </w:r>
      <w:r>
        <w:t xml:space="preserve"> </w:t>
      </w:r>
      <w:r>
        <w:t xml:space="preserve">“</w:t>
      </w:r>
      <w:r>
        <w:t xml:space="preserve">not a core or thread</w:t>
      </w:r>
      <w:r>
        <w:t xml:space="preserve">”</w:t>
      </w:r>
      <w:r>
        <w:t xml:space="preserve"> </w:t>
      </w:r>
      <w:r>
        <w:t xml:space="preserve">into the pruning rule, e.g. by learning, per</w:t>
      </w:r>
      <w:r>
        <w:t xml:space="preserve"> </w:t>
      </w:r>
      <w:r>
        <w:t xml:space="preserve">vendor, which subtrees never contain matching instances, with a</w:t>
      </w:r>
      <w:r>
        <w:t xml:space="preserve"> </w:t>
      </w:r>
      <w:r>
        <w:t xml:space="preserve">periodic exhaustive audit to preserve completeness.</w:t>
      </w:r>
    </w:p>
    <w:p>
      <w:pPr>
        <w:numPr>
          <w:ilvl w:val="0"/>
          <w:numId w:val="1009"/>
        </w:numPr>
      </w:pPr>
      <w:r>
        <w:rPr>
          <w:bCs/>
          <w:b/>
        </w:rPr>
        <w:t xml:space="preserve">Selective cross references.</w:t>
      </w:r>
      <w:r>
        <w:t xml:space="preserve"> </w:t>
      </w:r>
      <w:r>
        <w:t xml:space="preserve">Follow a</w:t>
      </w:r>
      <w:r>
        <w:t xml:space="preserve"> </w:t>
      </w:r>
      <w:r>
        <w:rPr>
          <w:rStyle w:val="VerbatimChar"/>
        </w:rPr>
        <w:t xml:space="preserve">Links</w:t>
      </w:r>
      <w:r>
        <w:t xml:space="preserve"> </w:t>
      </w:r>
      <w:r>
        <w:t xml:space="preserve">reference only</w:t>
      </w:r>
      <w:r>
        <w:t xml:space="preserve"> </w:t>
      </w:r>
      <w:r>
        <w:t xml:space="preserve">if its declared target type is an anchor type, to recover the</w:t>
      </w:r>
      <w:r>
        <w:t xml:space="preserve"> </w:t>
      </w:r>
      <w:r>
        <w:t xml:space="preserve">components that are not in the containment tree at little extra cost.</w:t>
      </w:r>
    </w:p>
    <w:p>
      <w:pPr>
        <w:numPr>
          <w:ilvl w:val="0"/>
          <w:numId w:val="1009"/>
        </w:numPr>
      </w:pPr>
      <w:r>
        <w:rPr>
          <w:bCs/>
          <w:b/>
        </w:rPr>
        <w:t xml:space="preserve">Deduplication across model generations.</w:t>
      </w:r>
      <w:r>
        <w:t xml:space="preserve"> </w:t>
      </w:r>
      <w:r>
        <w:t xml:space="preserve">Merge the legacy</w:t>
      </w:r>
      <w:r>
        <w:t xml:space="preserve"> </w:t>
      </w:r>
      <w:r>
        <w:t xml:space="preserve">embedded and the new resource representations of the same power supply</w:t>
      </w:r>
      <w:r>
        <w:t xml:space="preserve"> </w:t>
      </w:r>
      <w:r>
        <w:t xml:space="preserve">or fan by</w:t>
      </w:r>
      <w:r>
        <w:t xml:space="preserve"> </w:t>
      </w:r>
      <w:r>
        <w:rPr>
          <w:rStyle w:val="VerbatimChar"/>
        </w:rPr>
        <w:t xml:space="preserve">Location</w:t>
      </w:r>
      <w:r>
        <w:t xml:space="preserve">,</w:t>
      </w:r>
      <w:r>
        <w:t xml:space="preserve"> </w:t>
      </w:r>
      <w:r>
        <w:rPr>
          <w:rStyle w:val="VerbatimChar"/>
        </w:rPr>
        <w:t xml:space="preserve">SerialNumber</w:t>
      </w:r>
      <w:r>
        <w:t xml:space="preserve"> </w:t>
      </w:r>
      <w:r>
        <w:t xml:space="preserve">and</w:t>
      </w:r>
      <w:r>
        <w:t xml:space="preserve"> </w:t>
      </w:r>
      <w:r>
        <w:rPr>
          <w:rStyle w:val="VerbatimChar"/>
        </w:rPr>
        <w:t xml:space="preserve">MemberId</w:t>
      </w:r>
      <w:r>
        <w:t xml:space="preserve">.</w:t>
      </w:r>
    </w:p>
    <w:p>
      <w:pPr>
        <w:numPr>
          <w:ilvl w:val="0"/>
          <w:numId w:val="1009"/>
        </w:numPr>
      </w:pPr>
      <w:r>
        <w:rPr>
          <w:bCs/>
          <w:b/>
        </w:rPr>
        <w:t xml:space="preserve">Server-side assistance.</w:t>
      </w:r>
      <w:r>
        <w:t xml:space="preserve"> </w:t>
      </w:r>
      <w:r>
        <w:t xml:space="preserve">Combine SP-BFS with</w:t>
      </w:r>
      <w:r>
        <w:t xml:space="preserve"> </w:t>
      </w:r>
      <w:r>
        <w:rPr>
          <w:rStyle w:val="VerbatimChar"/>
        </w:rPr>
        <w:t xml:space="preserve">$expand</w:t>
      </w:r>
      <w:r>
        <w:t xml:space="preserve"> </w:t>
      </w:r>
      <w:r>
        <w:t xml:space="preserve">and</w:t>
      </w:r>
      <w:r>
        <w:t xml:space="preserve"> </w:t>
      </w:r>
      <w:r>
        <w:rPr>
          <w:rStyle w:val="VerbatimChar"/>
        </w:rPr>
        <w:t xml:space="preserve">$select</w:t>
      </w:r>
      <w:r>
        <w:t xml:space="preserve"> </w:t>
      </w:r>
      <w:r>
        <w:t xml:space="preserve">where a service supports them, and with Redfish event</w:t>
      </w:r>
      <w:r>
        <w:t xml:space="preserve"> </w:t>
      </w:r>
      <w:r>
        <w:t xml:space="preserve">subscriptions and telemetry reports for rediscovery and polling.</w:t>
      </w:r>
    </w:p>
    <w:bookmarkEnd w:id="90"/>
    <w:bookmarkEnd w:id="91"/>
    <w:bookmarkStart w:id="92" w:name="Xc7829d1dca5502491810be85e9c28b4176fd05f"/>
    <w:p>
      <w:pPr>
        <w:pStyle w:val="Heading1"/>
      </w:pPr>
      <w:r>
        <w:t xml:space="preserve">Appendix A: Static Navigation Recipes and Queries</w:t>
      </w:r>
    </w:p>
    <w:p>
      <w:pPr>
        <w:pStyle w:val="FirstParagraph"/>
      </w:pPr>
      <w:r>
        <w:t xml:space="preserve">The static baselines of Chapter 7 are defined as lists of steps. A property</w:t>
      </w:r>
      <w:r>
        <w:t xml:space="preserve"> </w:t>
      </w:r>
      <w:r>
        <w:t xml:space="preserve">name follows that property (a single link or an array of links),</w:t>
      </w:r>
      <w:r>
        <w:t xml:space="preserve"> </w:t>
      </w:r>
      <w:r>
        <w:rPr>
          <w:rStyle w:val="VerbatimChar"/>
        </w:rPr>
        <w:t xml:space="preserve">*</w:t>
      </w:r>
      <w:r>
        <w:t xml:space="preserve"> </w:t>
      </w:r>
      <w:r>
        <w:t xml:space="preserve">enumerates the</w:t>
      </w:r>
      <w:r>
        <w:t xml:space="preserve"> </w:t>
      </w:r>
      <w:r>
        <w:rPr>
          <w:rStyle w:val="VerbatimChar"/>
        </w:rPr>
        <w:t xml:space="preserve">Members</w:t>
      </w:r>
      <w:r>
        <w:t xml:space="preserve"> </w:t>
      </w:r>
      <w:r>
        <w:t xml:space="preserve">of a collection, and</w:t>
      </w:r>
      <w:r>
        <w:t xml:space="preserve"> </w:t>
      </w:r>
      <w:r>
        <w:rPr>
          <w:rStyle w:val="VerbatimChar"/>
        </w:rPr>
        <w:t xml:space="preserve">#Prop</w:t>
      </w:r>
      <w:r>
        <w:t xml:space="preserve"> </w:t>
      </w:r>
      <w:r>
        <w:t xml:space="preserve">enumerates the</w:t>
      </w:r>
      <w:r>
        <w:t xml:space="preserve"> </w:t>
      </w:r>
      <w:r>
        <w:t xml:space="preserve">elements of an embedded array without a further request. Static-union is the</w:t>
      </w:r>
      <w:r>
        <w:t xml:space="preserve"> </w:t>
      </w:r>
      <w:r>
        <w:t xml:space="preserve">concatenation of both lists per category, evaluated with a shared response cache.</w:t>
      </w:r>
    </w:p>
    <w:p>
      <w:pPr>
        <w:pStyle w:val="BodyText"/>
      </w:pPr>
      <w:r>
        <w:rPr>
          <w:bCs/>
          <w:b/>
        </w:rPr>
        <w:t xml:space="preserve">Listing:</w:t>
      </w:r>
      <w:r>
        <w:t xml:space="preserve"> </w:t>
      </w:r>
      <w:r>
        <w:t xml:space="preserve">Static navigation recipes (</w:t>
      </w:r>
      <w:r>
        <w:rPr>
          <w:rStyle w:val="VerbatimChar"/>
        </w:rPr>
        <w:t xml:space="preserve">rfbfs/discover.py</w:t>
      </w:r>
      <w:r>
        <w:t xml:space="preserve">).</w:t>
      </w:r>
    </w:p>
    <w:p>
      <w:pPr>
        <w:pStyle w:val="SourceCode"/>
      </w:pPr>
      <w:r>
        <w:rPr>
          <w:rStyle w:val="VerbatimChar"/>
        </w:rPr>
        <w:t xml:space="preserve">STATIC_LEGACY = {</w:t>
      </w:r>
      <w:r>
        <w:br/>
      </w:r>
      <w:r>
        <w:rPr>
          <w:rStyle w:val="VerbatimChar"/>
        </w:rPr>
        <w:t xml:space="preserve">    "Processor": [["Systems", "*", "Processors", "*"]],</w:t>
      </w:r>
      <w:r>
        <w:br/>
      </w:r>
      <w:r>
        <w:rPr>
          <w:rStyle w:val="VerbatimChar"/>
        </w:rPr>
        <w:t xml:space="preserve">    "Memory":    [["Systems", "*", "Memory", "*"]],</w:t>
      </w:r>
      <w:r>
        <w:br/>
      </w:r>
      <w:r>
        <w:rPr>
          <w:rStyle w:val="VerbatimChar"/>
        </w:rPr>
        <w:t xml:space="preserve">    "Storage":   [["Systems", "*", "SimpleStorage", "*", "#Devices"]],</w:t>
      </w:r>
      <w:r>
        <w:br/>
      </w:r>
      <w:r>
        <w:rPr>
          <w:rStyle w:val="VerbatimChar"/>
        </w:rPr>
        <w:t xml:space="preserve">    "Network":   [["Systems", "*", "EthernetInterfaces", "*"]],</w:t>
      </w:r>
      <w:r>
        <w:br/>
      </w:r>
      <w:r>
        <w:rPr>
          <w:rStyle w:val="VerbatimChar"/>
        </w:rPr>
        <w:t xml:space="preserve">    "Power":     [["Chassis", "*", "Power", "#PowerSupplies"]],</w:t>
      </w:r>
      <w:r>
        <w:br/>
      </w:r>
      <w:r>
        <w:rPr>
          <w:rStyle w:val="VerbatimChar"/>
        </w:rPr>
        <w:t xml:space="preserve">    "Thermal":   [["Chassis", "*", "Thermal", "#Fans"],</w:t>
      </w:r>
      <w:r>
        <w:br/>
      </w:r>
      <w:r>
        <w:rPr>
          <w:rStyle w:val="VerbatimChar"/>
        </w:rPr>
        <w:t xml:space="preserve">                  ["Chassis", "*", "Thermal", "#Temperatures"]],</w:t>
      </w:r>
      <w:r>
        <w:br/>
      </w:r>
      <w:r>
        <w:rPr>
          <w:rStyle w:val="VerbatimChar"/>
        </w:rPr>
        <w:t xml:space="preserve">}</w:t>
      </w:r>
      <w:r>
        <w:br/>
      </w:r>
      <w:r>
        <w:rPr>
          <w:rStyle w:val="VerbatimChar"/>
        </w:rPr>
        <w:t xml:space="preserve">STATIC_MODERN = {</w:t>
      </w:r>
      <w:r>
        <w:br/>
      </w:r>
      <w:r>
        <w:rPr>
          <w:rStyle w:val="VerbatimChar"/>
        </w:rPr>
        <w:t xml:space="preserve">    "Processor": [["Systems", "*", "Processors", "*"]],</w:t>
      </w:r>
      <w:r>
        <w:br/>
      </w:r>
      <w:r>
        <w:rPr>
          <w:rStyle w:val="VerbatimChar"/>
        </w:rPr>
        <w:t xml:space="preserve">    "Memory":    [["Systems", "*", "Memory", "*"]],</w:t>
      </w:r>
      <w:r>
        <w:br/>
      </w:r>
      <w:r>
        <w:rPr>
          <w:rStyle w:val="VerbatimChar"/>
        </w:rPr>
        <w:t xml:space="preserve">    "Storage":   [["Systems", "*", "Storage", "*", "Drives"]],</w:t>
      </w:r>
      <w:r>
        <w:br/>
      </w:r>
      <w:r>
        <w:rPr>
          <w:rStyle w:val="VerbatimChar"/>
        </w:rPr>
        <w:t xml:space="preserve">    "Network":   [["Systems", "*", "EthernetInterfaces", "*"],</w:t>
      </w:r>
      <w:r>
        <w:br/>
      </w:r>
      <w:r>
        <w:rPr>
          <w:rStyle w:val="VerbatimChar"/>
        </w:rPr>
        <w:t xml:space="preserve">                  ["Chassis", "*", "NetworkAdapters", "*"]],</w:t>
      </w:r>
      <w:r>
        <w:br/>
      </w:r>
      <w:r>
        <w:rPr>
          <w:rStyle w:val="VerbatimChar"/>
        </w:rPr>
        <w:t xml:space="preserve">    "Power":     [["Chassis", "*", "PowerSubsystem", "PowerSupplies", "*"]],</w:t>
      </w:r>
      <w:r>
        <w:br/>
      </w:r>
      <w:r>
        <w:rPr>
          <w:rStyle w:val="VerbatimChar"/>
        </w:rPr>
        <w:t xml:space="preserve">    "Thermal":   [["Chassis", "*", "ThermalSubsystem", "Fans", "*"],</w:t>
      </w:r>
      <w:r>
        <w:br/>
      </w:r>
      <w:r>
        <w:rPr>
          <w:rStyle w:val="VerbatimChar"/>
        </w:rPr>
        <w:t xml:space="preserve">                  ["Chassis", "*", "Sensors", "*"]],</w:t>
      </w:r>
      <w:r>
        <w:br/>
      </w:r>
      <w:r>
        <w:rPr>
          <w:rStyle w:val="VerbatimChar"/>
        </w:rPr>
        <w:t xml:space="preserve">}</w:t>
      </w:r>
    </w:p>
    <w:p>
      <w:pPr>
        <w:pStyle w:val="FirstParagraph"/>
      </w:pPr>
      <w:r>
        <w:rPr>
          <w:bCs/>
          <w:b/>
        </w:rPr>
        <w:t xml:space="preserve">Listing:</w:t>
      </w:r>
      <w:r>
        <w:t xml:space="preserve"> </w:t>
      </w:r>
      <w:r>
        <w:t xml:space="preserve">Declarative resource queries (</w:t>
      </w:r>
      <w:r>
        <w:rPr>
          <w:rStyle w:val="VerbatimChar"/>
        </w:rPr>
        <w:t xml:space="preserve">rfbfs/queries.py</w:t>
      </w:r>
      <w:r>
        <w:t xml:space="preserve">, abridged).</w:t>
      </w:r>
    </w:p>
    <w:p>
      <w:pPr>
        <w:pStyle w:val="SourceCode"/>
      </w:pPr>
      <w:r>
        <w:rPr>
          <w:rStyle w:val="VerbatimChar"/>
        </w:rPr>
        <w:t xml:space="preserve">QUERIES = {</w:t>
      </w:r>
      <w:r>
        <w:br/>
      </w:r>
      <w:r>
        <w:rPr>
          <w:rStyle w:val="VerbatimChar"/>
        </w:rPr>
        <w:t xml:space="preserve">    "Processor": Query("Processor", {"Processor"}, predicate=_socket),</w:t>
      </w:r>
      <w:r>
        <w:br/>
      </w:r>
      <w:r>
        <w:rPr>
          <w:rStyle w:val="VerbatimChar"/>
        </w:rPr>
        <w:t xml:space="preserve">    "Memory":    Query("Memory", {"Memory"}),</w:t>
      </w:r>
      <w:r>
        <w:br/>
      </w:r>
      <w:r>
        <w:rPr>
          <w:rStyle w:val="VerbatimChar"/>
        </w:rPr>
        <w:t xml:space="preserve">    "Storage":   Query("Storage", {"Drive"}, {("SimpleStorage", "Devices")}),</w:t>
      </w:r>
      <w:r>
        <w:br/>
      </w:r>
      <w:r>
        <w:rPr>
          <w:rStyle w:val="VerbatimChar"/>
        </w:rPr>
        <w:t xml:space="preserve">    "Network":   Query("Network", {"EthernetInterface", "NetworkAdapter"}),</w:t>
      </w:r>
      <w:r>
        <w:br/>
      </w:r>
      <w:r>
        <w:rPr>
          <w:rStyle w:val="VerbatimChar"/>
        </w:rPr>
        <w:t xml:space="preserve">    "Power":     Query("Power", {"PowerSupply"}, {("Power", "PowerSupplies")}),</w:t>
      </w:r>
      <w:r>
        <w:br/>
      </w:r>
      <w:r>
        <w:rPr>
          <w:rStyle w:val="VerbatimChar"/>
        </w:rPr>
        <w:t xml:space="preserve">    "Thermal":   Query("Thermal", {"Fan", "Sensor"},</w:t>
      </w:r>
      <w:r>
        <w:br/>
      </w:r>
      <w:r>
        <w:rPr>
          <w:rStyle w:val="VerbatimChar"/>
        </w:rPr>
        <w:t xml:space="preserve">                       {("Thermal", "Fans"), ("Thermal", "Temperatures")},</w:t>
      </w:r>
      <w:r>
        <w:br/>
      </w:r>
      <w:r>
        <w:rPr>
          <w:rStyle w:val="VerbatimChar"/>
        </w:rPr>
        <w:t xml:space="preserve">                       _temperature_sensor),</w:t>
      </w:r>
      <w:r>
        <w:br/>
      </w:r>
      <w:r>
        <w:rPr>
          <w:rStyle w:val="VerbatimChar"/>
        </w:rPr>
        <w:t xml:space="preserve">}</w:t>
      </w:r>
      <w:r>
        <w:br/>
      </w:r>
      <w:r>
        <w:rPr>
          <w:rStyle w:val="VerbatimChar"/>
        </w:rPr>
        <w:t xml:space="preserve">EXCLUDED_TYPES = {"ManagerCollection", "Manager"}</w:t>
      </w:r>
    </w:p>
    <w:bookmarkEnd w:id="92"/>
    <w:bookmarkStart w:id="95" w:name="appendix-b-reproducibility"/>
    <w:p>
      <w:pPr>
        <w:pStyle w:val="Heading1"/>
      </w:pPr>
      <w:r>
        <w:t xml:space="preserve">Appendix B: Reproducibility</w:t>
      </w:r>
    </w:p>
    <w:bookmarkStart w:id="93" w:name="b.1-data-sources"/>
    <w:p>
      <w:pPr>
        <w:pStyle w:val="Heading2"/>
      </w:pPr>
      <w:r>
        <w:t xml:space="preserve">B.1 Data sources</w:t>
      </w:r>
    </w:p>
    <w:p>
      <w:pPr>
        <w:pStyle w:val="FirstParagraph"/>
      </w:pPr>
      <w:r>
        <w:t xml:space="preserve">All services and the schema bundle were obtained from public repositories on</w:t>
      </w:r>
      <w:r>
        <w:t xml:space="preserve"> </w:t>
      </w:r>
      <w:r>
        <w:t xml:space="preserve">19 September 2026 (Table B.1). The mockup directories used are listed</w:t>
      </w:r>
      <w:r>
        <w:t xml:space="preserve"> </w:t>
      </w:r>
      <w:r>
        <w:t xml:space="preserve">in</w:t>
      </w:r>
      <w:r>
        <w:t xml:space="preserve"> </w:t>
      </w:r>
      <w:r>
        <w:rPr>
          <w:rStyle w:val="VerbatimChar"/>
        </w:rPr>
        <w:t xml:space="preserve">code/run_experiments.py</w:t>
      </w:r>
      <w:r>
        <w:t xml:space="preserve">.</w:t>
      </w:r>
    </w:p>
    <w:p>
      <w:pPr>
        <w:pStyle w:val="TableCaption"/>
      </w:pPr>
      <w:r>
        <w:t xml:space="preserve">Table B.1: Data sources (GitHub repositories) and the commits used.</w:t>
      </w:r>
    </w:p>
    <w:tbl>
      <w:tblPr>
        <w:tblStyle w:val="Table"/>
        <w:tblW w:type="dxa" w:w="8618"/>
        <w:jc w:val="center"/>
        <w:tblLook w:firstRow="1" w:lastRow="0" w:firstColumn="0" w:lastColumn="0" w:noHBand="0" w:noVBand="0" w:val="0020"/>
        <w:tblCaption w:val="Table B.1: Data sources (GitHub repositories) and the commits used."/>
      </w:tblPr>
      <w:tblGrid>
        <w:gridCol w:w="1300"/>
        <w:gridCol w:w="4541"/>
        <w:gridCol w:w="1388"/>
        <w:gridCol w:w="1389"/>
      </w:tblGrid>
      <w:tr>
        <w:trPr>
          <w:tblHeader w:val="true"/>
        </w:trPr>
        <w:tc>
          <w:tcPr>
            <w:tcW w:type="dxa" w:w="1300"/>
          </w:tcPr>
          <w:p>
            <w:pPr>
              <w:pStyle w:val="TableText"/>
              <w:jc w:val="left"/>
            </w:pPr>
            <w:r>
              <w:t xml:space="preserve">Content</w:t>
            </w:r>
          </w:p>
        </w:tc>
        <w:tc>
          <w:tcPr>
            <w:tcW w:type="dxa" w:w="4541"/>
          </w:tcPr>
          <w:p>
            <w:pPr>
              <w:pStyle w:val="TableText"/>
              <w:jc w:val="left"/>
            </w:pPr>
            <w:r>
              <w:t xml:space="preserve">Repository</w:t>
            </w:r>
          </w:p>
        </w:tc>
        <w:tc>
          <w:tcPr>
            <w:tcW w:type="dxa" w:w="1388"/>
          </w:tcPr>
          <w:p>
            <w:pPr>
              <w:pStyle w:val="TableText"/>
              <w:jc w:val="left"/>
            </w:pPr>
            <w:r>
              <w:t xml:space="preserve">Commit</w:t>
            </w:r>
          </w:p>
        </w:tc>
        <w:tc>
          <w:tcPr>
            <w:tcW w:type="dxa" w:w="1389"/>
          </w:tcPr>
          <w:p>
            <w:pPr>
              <w:pStyle w:val="TableText"/>
              <w:jc w:val="left"/>
            </w:pPr>
            <w:r>
              <w:t xml:space="preserve">Date</w:t>
            </w:r>
          </w:p>
        </w:tc>
      </w:tr>
      <w:tr>
        <w:tc>
          <w:tcPr>
            <w:tcW w:type="dxa" w:w="1300"/>
          </w:tcPr>
          <w:p>
            <w:pPr>
              <w:pStyle w:val="TableText"/>
              <w:jc w:val="left"/>
            </w:pPr>
            <w:r>
              <w:t xml:space="preserve">DMTF mockups, schema 2026.2</w:t>
            </w:r>
          </w:p>
        </w:tc>
        <w:tc>
          <w:tcPr>
            <w:tcW w:type="dxa" w:w="4541"/>
          </w:tcPr>
          <w:p>
            <w:pPr>
              <w:pStyle w:val="TableText"/>
              <w:jc w:val="left"/>
            </w:pPr>
            <w:r>
              <w:rPr>
                <w:rStyle w:val="VerbatimChar"/>
              </w:rPr>
              <w:t xml:space="preserve">DMTF/Redfish-Publications</w:t>
            </w:r>
          </w:p>
        </w:tc>
        <w:tc>
          <w:tcPr>
            <w:tcW w:type="dxa" w:w="1388"/>
          </w:tcPr>
          <w:p>
            <w:pPr>
              <w:pStyle w:val="TableText"/>
              <w:jc w:val="left"/>
            </w:pPr>
            <w:r>
              <w:rPr>
                <w:rStyle w:val="VerbatimChar"/>
              </w:rPr>
              <w:t xml:space="preserve">4f81814e39</w:t>
            </w:r>
          </w:p>
        </w:tc>
        <w:tc>
          <w:tcPr>
            <w:tcW w:type="dxa" w:w="1389"/>
          </w:tcPr>
          <w:p>
            <w:pPr>
              <w:pStyle w:val="TableText"/>
              <w:jc w:val="left"/>
            </w:pPr>
            <w:r>
              <w:t xml:space="preserve">2026-09-16</w:t>
            </w:r>
          </w:p>
        </w:tc>
      </w:tr>
      <w:tr>
        <w:tc>
          <w:tcPr>
            <w:tcW w:type="dxa" w:w="1300"/>
          </w:tcPr>
          <w:p>
            <w:pPr>
              <w:pStyle w:val="TableText"/>
              <w:jc w:val="left"/>
            </w:pPr>
            <w:r>
              <w:t xml:space="preserve">HPE iLO mockups</w:t>
            </w:r>
          </w:p>
        </w:tc>
        <w:tc>
          <w:tcPr>
            <w:tcW w:type="dxa" w:w="4541"/>
          </w:tcPr>
          <w:p>
            <w:pPr>
              <w:pStyle w:val="TableText"/>
              <w:jc w:val="left"/>
            </w:pPr>
            <w:r>
              <w:rPr>
                <w:rStyle w:val="VerbatimChar"/>
              </w:rPr>
              <w:t xml:space="preserve">HewlettPackard/ilo-redfish-emulator</w:t>
            </w:r>
          </w:p>
        </w:tc>
        <w:tc>
          <w:tcPr>
            <w:tcW w:type="dxa" w:w="1388"/>
          </w:tcPr>
          <w:p>
            <w:pPr>
              <w:pStyle w:val="TableText"/>
              <w:jc w:val="left"/>
            </w:pPr>
            <w:r>
              <w:rPr>
                <w:rStyle w:val="VerbatimChar"/>
              </w:rPr>
              <w:t xml:space="preserve">d668ab1580</w:t>
            </w:r>
          </w:p>
        </w:tc>
        <w:tc>
          <w:tcPr>
            <w:tcW w:type="dxa" w:w="1389"/>
          </w:tcPr>
          <w:p>
            <w:pPr>
              <w:pStyle w:val="TableText"/>
              <w:jc w:val="left"/>
            </w:pPr>
            <w:r>
              <w:t xml:space="preserve">2026-09-09</w:t>
            </w:r>
          </w:p>
        </w:tc>
      </w:tr>
      <w:tr>
        <w:tc>
          <w:tcPr>
            <w:tcW w:type="dxa" w:w="1300"/>
          </w:tcPr>
          <w:p>
            <w:pPr>
              <w:pStyle w:val="TableText"/>
              <w:jc w:val="left"/>
            </w:pPr>
            <w:r>
              <w:t xml:space="preserve">HPE CSM mockups</w:t>
            </w:r>
          </w:p>
        </w:tc>
        <w:tc>
          <w:tcPr>
            <w:tcW w:type="dxa" w:w="4541"/>
          </w:tcPr>
          <w:p>
            <w:pPr>
              <w:pStyle w:val="TableText"/>
              <w:jc w:val="left"/>
            </w:pPr>
            <w:r>
              <w:rPr>
                <w:rStyle w:val="VerbatimChar"/>
              </w:rPr>
              <w:t xml:space="preserve">Cray-HPE/csm-redfish-interface-emulator</w:t>
            </w:r>
          </w:p>
        </w:tc>
        <w:tc>
          <w:tcPr>
            <w:tcW w:type="dxa" w:w="1388"/>
          </w:tcPr>
          <w:p>
            <w:pPr>
              <w:pStyle w:val="TableText"/>
              <w:jc w:val="left"/>
            </w:pPr>
            <w:r>
              <w:rPr>
                <w:rStyle w:val="VerbatimChar"/>
              </w:rPr>
              <w:t xml:space="preserve">8d6a108bbd</w:t>
            </w:r>
          </w:p>
        </w:tc>
        <w:tc>
          <w:tcPr>
            <w:tcW w:type="dxa" w:w="1389"/>
          </w:tcPr>
          <w:p>
            <w:pPr>
              <w:pStyle w:val="TableText"/>
              <w:jc w:val="left"/>
            </w:pPr>
            <w:r>
              <w:t xml:space="preserve">2025-12-12</w:t>
            </w:r>
          </w:p>
        </w:tc>
      </w:tr>
      <w:tr>
        <w:tc>
          <w:tcPr>
            <w:tcW w:type="dxa" w:w="1300"/>
          </w:tcPr>
          <w:p>
            <w:pPr>
              <w:pStyle w:val="TableText"/>
              <w:jc w:val="left"/>
            </w:pPr>
            <w:r>
              <w:t xml:space="preserve">Dell mockups</w:t>
            </w:r>
          </w:p>
        </w:tc>
        <w:tc>
          <w:tcPr>
            <w:tcW w:type="dxa" w:w="4541"/>
          </w:tcPr>
          <w:p>
            <w:pPr>
              <w:pStyle w:val="TableText"/>
              <w:jc w:val="left"/>
            </w:pPr>
            <w:r>
              <w:rPr>
                <w:rStyle w:val="VerbatimChar"/>
              </w:rPr>
              <w:t xml:space="preserve">sailfishdell/sailfish</w:t>
            </w:r>
          </w:p>
        </w:tc>
        <w:tc>
          <w:tcPr>
            <w:tcW w:type="dxa" w:w="1388"/>
          </w:tcPr>
          <w:p>
            <w:pPr>
              <w:pStyle w:val="TableText"/>
              <w:jc w:val="left"/>
            </w:pPr>
            <w:r>
              <w:rPr>
                <w:rStyle w:val="VerbatimChar"/>
              </w:rPr>
              <w:t xml:space="preserve">3bbe0703c2</w:t>
            </w:r>
          </w:p>
        </w:tc>
        <w:tc>
          <w:tcPr>
            <w:tcW w:type="dxa" w:w="1389"/>
          </w:tcPr>
          <w:p>
            <w:pPr>
              <w:pStyle w:val="TableText"/>
              <w:jc w:val="left"/>
            </w:pPr>
            <w:r>
              <w:t xml:space="preserve">2019-11-22</w:t>
            </w:r>
          </w:p>
        </w:tc>
      </w:tr>
    </w:tbl>
    <w:bookmarkEnd w:id="93"/>
    <w:bookmarkStart w:id="94" w:name="b.2-commands"/>
    <w:p>
      <w:pPr>
        <w:pStyle w:val="Heading2"/>
      </w:pPr>
      <w:r>
        <w:t xml:space="preserve">B.2 Commands</w:t>
      </w:r>
    </w:p>
    <w:p>
      <w:pPr>
        <w:pStyle w:val="SourceCode"/>
      </w:pPr>
      <w:r>
        <w:rPr>
          <w:rStyle w:val="VerbatimChar"/>
        </w:rPr>
        <w:t xml:space="preserve"># fetch data (shallow clones are sufficient)</w:t>
      </w:r>
      <w:r>
        <w:br/>
      </w:r>
      <w:r>
        <w:rPr>
          <w:rStyle w:val="VerbatimChar"/>
        </w:rPr>
        <w:t xml:space="preserve">git clone https://github.com/DMTF/Redfish-Publications.git   data/pubs</w:t>
      </w:r>
      <w:r>
        <w:br/>
      </w:r>
      <w:r>
        <w:rPr>
          <w:rStyle w:val="VerbatimChar"/>
        </w:rPr>
        <w:t xml:space="preserve">git clone https://github.com/HewlettPackard/ilo-redfish-emulator.git data/ilo-redfish-emulator</w:t>
      </w:r>
      <w:r>
        <w:br/>
      </w:r>
      <w:r>
        <w:rPr>
          <w:rStyle w:val="VerbatimChar"/>
        </w:rPr>
        <w:t xml:space="preserve">git clone https://github.com/Cray-HPE/csm-redfish-interface-emulator.git \</w:t>
      </w:r>
      <w:r>
        <w:br/>
      </w:r>
      <w:r>
        <w:rPr>
          <w:rStyle w:val="VerbatimChar"/>
        </w:rPr>
        <w:t xml:space="preserve">          data/csm-redfish-interface-emulator</w:t>
      </w:r>
      <w:r>
        <w:br/>
      </w:r>
      <w:r>
        <w:rPr>
          <w:rStyle w:val="VerbatimChar"/>
        </w:rPr>
        <w:t xml:space="preserve">git clone https://github.com/sailfishdell/sailfish.git         data/sailfish</w:t>
      </w:r>
      <w:r>
        <w:br/>
      </w:r>
      <w:r>
        <w:br/>
      </w:r>
      <w:r>
        <w:rPr>
          <w:rStyle w:val="VerbatimChar"/>
        </w:rPr>
        <w:t xml:space="preserve">cd code</w:t>
      </w:r>
      <w:r>
        <w:br/>
      </w:r>
      <w:r>
        <w:rPr>
          <w:rStyle w:val="VerbatimChar"/>
        </w:rPr>
        <w:t xml:space="preserve">python3 run_experiments.py ../data ../data/pubs/json-schema ../results</w:t>
      </w:r>
      <w:r>
        <w:br/>
      </w:r>
      <w:r>
        <w:rPr>
          <w:rStyle w:val="VerbatimChar"/>
        </w:rPr>
        <w:t xml:space="preserve">pip install matplotlib numpy</w:t>
      </w:r>
      <w:r>
        <w:br/>
      </w:r>
      <w:r>
        <w:rPr>
          <w:rStyle w:val="VerbatimChar"/>
        </w:rPr>
        <w:t xml:space="preserve">python3 make_figures.py ../results ../figures   # also writes ../tables/*.tex</w:t>
      </w:r>
    </w:p>
    <w:p>
      <w:pPr>
        <w:pStyle w:val="FirstParagraph"/>
      </w:pPr>
      <w:r>
        <w:t xml:space="preserve">The experiment is deterministic. On a single core it runs in under one minute.</w:t>
      </w:r>
      <w:r>
        <w:t xml:space="preserve"> </w:t>
      </w:r>
      <w:r>
        <w:t xml:space="preserve">The file</w:t>
      </w:r>
      <w:r>
        <w:t xml:space="preserve"> </w:t>
      </w:r>
      <w:r>
        <w:rPr>
          <w:rStyle w:val="VerbatimChar"/>
        </w:rPr>
        <w:t xml:space="preserve">results/aggregate.json</w:t>
      </w:r>
      <w:r>
        <w:t xml:space="preserve"> </w:t>
      </w:r>
      <w:r>
        <w:t xml:space="preserve">contains every aggregate number quoted</w:t>
      </w:r>
      <w:r>
        <w:t xml:space="preserve"> </w:t>
      </w:r>
      <w:r>
        <w:t xml:space="preserve">in Chapter 7.</w:t>
      </w:r>
    </w:p>
    <w:bookmarkEnd w:id="94"/>
    <w:bookmarkEnd w:id="95"/>
    <w:bookmarkStart w:id="198" w:name="bibliography"/>
    <w:p>
      <w:pPr>
        <w:pStyle w:val="Heading1"/>
      </w:pPr>
      <w:r>
        <w:t xml:space="preserve">Bibliography</w:t>
      </w:r>
    </w:p>
    <w:bookmarkStart w:id="197" w:name="refs"/>
    <w:bookmarkStart w:id="97" w:name="ref-ipmi_v2"/>
    <w:p>
      <w:pPr>
        <w:pStyle w:val="Bibliography"/>
      </w:pPr>
      <w:r>
        <w:t xml:space="preserve">[1]</w:t>
      </w:r>
      <w:r>
        <w:t xml:space="preserve"> </w:t>
      </w:r>
      <w:r>
        <w:t xml:space="preserve">	</w:t>
      </w:r>
      <w:r>
        <w:t xml:space="preserve">Intel, Hewlett-Packard, NEC, and Dell,</w:t>
      </w:r>
      <w:r>
        <w:t xml:space="preserve"> </w:t>
      </w:r>
      <w:r>
        <w:rPr>
          <w:iCs/>
          <w:i/>
        </w:rPr>
        <w:t xml:space="preserve">IPMI</w:t>
      </w:r>
      <w:r>
        <w:rPr>
          <w:iCs/>
          <w:i/>
        </w:rPr>
        <w:t xml:space="preserve"> </w:t>
      </w:r>
      <w:r>
        <w:rPr>
          <w:iCs/>
          <w:i/>
        </w:rPr>
        <w:t xml:space="preserve">– intelligent platform management interface specification, second generation, v2.0</w:t>
      </w:r>
      <w:r>
        <w:t xml:space="preserve">, Document Revision 1.1. 2013. Accessed: Sep. 19, 2026. [Online]. Available:</w:t>
      </w:r>
      <w:r>
        <w:t xml:space="preserve"> </w:t>
      </w:r>
      <w:hyperlink r:id="rId96">
        <w:r>
          <w:rPr>
            <w:rStyle w:val="Hyperlink"/>
          </w:rPr>
          <w:t xml:space="preserve">https://www.intel.com/content/dam/www/public/us/en/documents/product-briefs/ipmi-second-gen-interface-spec-v2-rev1-1.pdf</w:t>
        </w:r>
      </w:hyperlink>
    </w:p>
    <w:bookmarkEnd w:id="97"/>
    <w:bookmarkStart w:id="99" w:name="ref-dmtf_dsp0266"/>
    <w:p>
      <w:pPr>
        <w:pStyle w:val="Bibliography"/>
      </w:pPr>
      <w:r>
        <w:t xml:space="preserve">[2]</w:t>
      </w:r>
      <w:r>
        <w:t xml:space="preserve"> </w:t>
      </w:r>
      <w:r>
        <w:t xml:space="preserve">	</w:t>
      </w:r>
      <w:r>
        <w:t xml:space="preserve">DMTF,</w:t>
      </w:r>
      <w:r>
        <w:t xml:space="preserve"> </w:t>
      </w:r>
      <w:r>
        <w:t xml:space="preserve">“Redfish specification,”</w:t>
      </w:r>
      <w:r>
        <w:t xml:space="preserve"> </w:t>
      </w:r>
      <w:r>
        <w:t xml:space="preserve">Distributed Management Task Force (DMTF), DMTF Standard DSP0266, Version 1.25.0, Aug. 2026. Accessed: Sep. 19, 2026. [Online]. Available:</w:t>
      </w:r>
      <w:r>
        <w:t xml:space="preserve"> </w:t>
      </w:r>
      <w:hyperlink r:id="rId98">
        <w:r>
          <w:rPr>
            <w:rStyle w:val="Hyperlink"/>
          </w:rPr>
          <w:t xml:space="preserve">https://www.dmtf.org/sites/default/files/standards/documents/DSP0266_1.25.0.pdf</w:t>
        </w:r>
      </w:hyperlink>
    </w:p>
    <w:bookmarkEnd w:id="99"/>
    <w:bookmarkStart w:id="101" w:name="ref-dmtf_dsp0268"/>
    <w:p>
      <w:pPr>
        <w:pStyle w:val="Bibliography"/>
      </w:pPr>
      <w:r>
        <w:t xml:space="preserve">[3]</w:t>
      </w:r>
      <w:r>
        <w:t xml:space="preserve"> </w:t>
      </w:r>
      <w:r>
        <w:t xml:space="preserve">	</w:t>
      </w:r>
      <w:r>
        <w:t xml:space="preserve">DMTF,</w:t>
      </w:r>
      <w:r>
        <w:t xml:space="preserve"> </w:t>
      </w:r>
      <w:r>
        <w:t xml:space="preserve">“Redfish data model specification,”</w:t>
      </w:r>
      <w:r>
        <w:t xml:space="preserve"> </w:t>
      </w:r>
      <w:r>
        <w:t xml:space="preserve">Distributed Management Task Force (DMTF), DMTF Standard DSP0268, Version 2026.2, Aug. 2026. Accessed: Sep. 19, 2026. [Online]. Available:</w:t>
      </w:r>
      <w:r>
        <w:t xml:space="preserve"> </w:t>
      </w:r>
      <w:hyperlink r:id="rId100">
        <w:r>
          <w:rPr>
            <w:rStyle w:val="Hyperlink"/>
          </w:rPr>
          <w:t xml:space="preserve">https://www.dmtf.org/sites/default/files/standards/documents/DSP0268_2026.2.pdf</w:t>
        </w:r>
      </w:hyperlink>
    </w:p>
    <w:bookmarkEnd w:id="101"/>
    <w:bookmarkStart w:id="103" w:name="ref-li2020monster"/>
    <w:p>
      <w:pPr>
        <w:pStyle w:val="Bibliography"/>
      </w:pPr>
      <w:r>
        <w:t xml:space="preserve">[4]</w:t>
      </w:r>
      <w:r>
        <w:t xml:space="preserve"> </w:t>
      </w:r>
      <w:r>
        <w:t xml:space="preserve">	</w:t>
      </w:r>
      <w:r>
        <w:t xml:space="preserve">J. Li</w:t>
      </w:r>
      <w:r>
        <w:t xml:space="preserve"> </w:t>
      </w:r>
      <w:r>
        <w:rPr>
          <w:iCs/>
          <w:i/>
        </w:rPr>
        <w:t xml:space="preserve">et al.</w:t>
      </w:r>
      <w:r>
        <w:t xml:space="preserve">,</w:t>
      </w:r>
      <w:r>
        <w:t xml:space="preserve"> </w:t>
      </w:r>
      <w:r>
        <w:t xml:space="preserve">“</w:t>
      </w:r>
      <w:r>
        <w:t xml:space="preserve">MonSTer</w:t>
      </w:r>
      <w:r>
        <w:t xml:space="preserve">: An out-of-the-box monitoring tool for high performance computing systems,”</w:t>
      </w:r>
      <w:r>
        <w:t xml:space="preserve"> </w:t>
      </w:r>
      <w:r>
        <w:t xml:space="preserve">in</w:t>
      </w:r>
      <w:r>
        <w:t xml:space="preserve"> </w:t>
      </w:r>
      <w:r>
        <w:rPr>
          <w:iCs/>
          <w:i/>
        </w:rPr>
        <w:t xml:space="preserve">2020 IEEE international conference on cluster computing (CLUSTER)</w:t>
      </w:r>
      <w:r>
        <w:t xml:space="preserve">, Kobe, Japan: IEEE, 2020, pp. 119–129. doi:</w:t>
      </w:r>
      <w:r>
        <w:t xml:space="preserve"> </w:t>
      </w:r>
      <w:hyperlink r:id="rId102">
        <w:r>
          <w:rPr>
            <w:rStyle w:val="Hyperlink"/>
          </w:rPr>
          <w:t xml:space="preserve">10.1109/CLUSTER49012.2020.00022</w:t>
        </w:r>
      </w:hyperlink>
      <w:r>
        <w:t xml:space="preserve">.</w:t>
      </w:r>
    </w:p>
    <w:bookmarkEnd w:id="103"/>
    <w:bookmarkStart w:id="105" w:name="ref-ali2022redfishnagios"/>
    <w:p>
      <w:pPr>
        <w:pStyle w:val="Bibliography"/>
      </w:pPr>
      <w:r>
        <w:t xml:space="preserve">[5]</w:t>
      </w:r>
      <w:r>
        <w:t xml:space="preserve"> </w:t>
      </w:r>
      <w:r>
        <w:t xml:space="preserve">	</w:t>
      </w:r>
      <w:r>
        <w:t xml:space="preserve">G. Ali, J. Hass, A. Sill, E. Hojati, T. Dang, and Y. Chen,</w:t>
      </w:r>
      <w:r>
        <w:t xml:space="preserve"> </w:t>
      </w:r>
      <w:r>
        <w:t xml:space="preserve">“</w:t>
      </w:r>
      <w:r>
        <w:t xml:space="preserve">Redfish-Nagios</w:t>
      </w:r>
      <w:r>
        <w:t xml:space="preserve">: A scalable out-of-band data center monitoring framework based on</w:t>
      </w:r>
      <w:r>
        <w:t xml:space="preserve"> </w:t>
      </w:r>
      <w:r>
        <w:t xml:space="preserve">Redfish</w:t>
      </w:r>
      <w:r>
        <w:t xml:space="preserve"> </w:t>
      </w:r>
      <w:r>
        <w:t xml:space="preserve">telemetry model,”</w:t>
      </w:r>
      <w:r>
        <w:t xml:space="preserve"> </w:t>
      </w:r>
      <w:r>
        <w:t xml:space="preserve">in</w:t>
      </w:r>
      <w:r>
        <w:t xml:space="preserve"> </w:t>
      </w:r>
      <w:r>
        <w:rPr>
          <w:iCs/>
          <w:i/>
        </w:rPr>
        <w:t xml:space="preserve">Proceedings of the fifth international workshop on systems and network telemetry and analytics (SNTA ’22)</w:t>
      </w:r>
      <w:r>
        <w:t xml:space="preserve">, Minneapolis, MN, USA: ACM, 2022, pp. 3–11. doi:</w:t>
      </w:r>
      <w:r>
        <w:t xml:space="preserve"> </w:t>
      </w:r>
      <w:hyperlink r:id="rId104">
        <w:r>
          <w:rPr>
            <w:rStyle w:val="Hyperlink"/>
          </w:rPr>
          <w:t xml:space="preserve">10.1145/3526064.3534108</w:t>
        </w:r>
      </w:hyperlink>
      <w:r>
        <w:t xml:space="preserve">.</w:t>
      </w:r>
    </w:p>
    <w:bookmarkEnd w:id="105"/>
    <w:bookmarkStart w:id="107" w:name="ref-dakic2024redfish"/>
    <w:p>
      <w:pPr>
        <w:pStyle w:val="Bibliography"/>
      </w:pPr>
      <w:r>
        <w:t xml:space="preserve">[6]</w:t>
      </w:r>
      <w:r>
        <w:t xml:space="preserve"> </w:t>
      </w:r>
      <w:r>
        <w:t xml:space="preserve">	</w:t>
      </w:r>
      <w:r>
        <w:t xml:space="preserve">V. Dakić, K. Bertina, J. Redžepagić, and D. Regvart,</w:t>
      </w:r>
      <w:r>
        <w:t xml:space="preserve"> </w:t>
      </w:r>
      <w:r>
        <w:t xml:space="preserve">“The</w:t>
      </w:r>
      <w:r>
        <w:t xml:space="preserve"> </w:t>
      </w:r>
      <w:r>
        <w:t xml:space="preserve">RedFish</w:t>
      </w:r>
      <w:r>
        <w:t xml:space="preserve"> </w:t>
      </w:r>
      <w:r>
        <w:t xml:space="preserve">API</w:t>
      </w:r>
      <w:r>
        <w:t xml:space="preserve"> </w:t>
      </w:r>
      <w:r>
        <w:t xml:space="preserve">and</w:t>
      </w:r>
      <w:r>
        <w:t xml:space="preserve"> </w:t>
      </w:r>
      <w:r>
        <w:t xml:space="preserve">vSphere</w:t>
      </w:r>
      <w:r>
        <w:t xml:space="preserve"> </w:t>
      </w:r>
      <w:r>
        <w:t xml:space="preserve">hypervisor</w:t>
      </w:r>
      <w:r>
        <w:t xml:space="preserve"> </w:t>
      </w:r>
      <w:r>
        <w:t xml:space="preserve">API</w:t>
      </w:r>
      <w:r>
        <w:t xml:space="preserve">: A unified framework for policy-based server monitoring,”</w:t>
      </w:r>
      <w:r>
        <w:t xml:space="preserve"> </w:t>
      </w:r>
      <w:r>
        <w:rPr>
          <w:iCs/>
          <w:i/>
        </w:rPr>
        <w:t xml:space="preserve">Electronics</w:t>
      </w:r>
      <w:r>
        <w:t xml:space="preserve">, vol. 13, no. 23, p. 4624, 2024, doi:</w:t>
      </w:r>
      <w:r>
        <w:t xml:space="preserve"> </w:t>
      </w:r>
      <w:hyperlink r:id="rId106">
        <w:r>
          <w:rPr>
            <w:rStyle w:val="Hyperlink"/>
          </w:rPr>
          <w:t xml:space="preserve">10.3390/electronics13234624</w:t>
        </w:r>
      </w:hyperlink>
      <w:r>
        <w:t xml:space="preserve">.</w:t>
      </w:r>
    </w:p>
    <w:bookmarkEnd w:id="107"/>
    <w:bookmarkStart w:id="109" w:name="ref-fielding2000rest"/>
    <w:p>
      <w:pPr>
        <w:pStyle w:val="Bibliography"/>
      </w:pPr>
      <w:r>
        <w:t xml:space="preserve">[7]</w:t>
      </w:r>
      <w:r>
        <w:t xml:space="preserve"> </w:t>
      </w:r>
      <w:r>
        <w:t xml:space="preserve">	</w:t>
      </w:r>
      <w:r>
        <w:t xml:space="preserve">R. T. Fielding,</w:t>
      </w:r>
      <w:r>
        <w:t xml:space="preserve"> </w:t>
      </w:r>
      <w:r>
        <w:t xml:space="preserve">“Architectural styles and the design of network-based software architectures,”</w:t>
      </w:r>
      <w:r>
        <w:t xml:space="preserve"> </w:t>
      </w:r>
      <w:r>
        <w:t xml:space="preserve">PhD thesis, University of California, Irvine, 2000. Accessed: Sep. 19, 2026. [Online]. Available:</w:t>
      </w:r>
      <w:r>
        <w:t xml:space="preserve"> </w:t>
      </w:r>
      <w:hyperlink r:id="rId108">
        <w:r>
          <w:rPr>
            <w:rStyle w:val="Hyperlink"/>
          </w:rPr>
          <w:t xml:space="preserve">https://ics.uci.edu/~fielding/pubs/dissertation/top.htm</w:t>
        </w:r>
      </w:hyperlink>
    </w:p>
    <w:bookmarkEnd w:id="109"/>
    <w:bookmarkStart w:id="111" w:name="ref-openbmc"/>
    <w:p>
      <w:pPr>
        <w:pStyle w:val="Bibliography"/>
      </w:pPr>
      <w:r>
        <w:t xml:space="preserve">[8]</w:t>
      </w:r>
      <w:r>
        <w:t xml:space="preserve"> </w:t>
      </w:r>
      <w:r>
        <w:t xml:space="preserve">	</w:t>
      </w:r>
      <w:r>
        <w:t xml:space="preserve">OpenBMC Project,</w:t>
      </w:r>
      <w:r>
        <w:t xml:space="preserve"> </w:t>
      </w:r>
      <w:r>
        <w:t xml:space="preserve">“</w:t>
      </w:r>
      <w:r>
        <w:t xml:space="preserve">OpenBMC</w:t>
      </w:r>
      <w:r>
        <w:t xml:space="preserve">: An open source firmware stack for baseboard management controllers.”</w:t>
      </w:r>
      <w:r>
        <w:t xml:space="preserve"> </w:t>
      </w:r>
      <w:r>
        <w:t xml:space="preserve">Linux Foundation project, GitHub organisation, 2026. Accessed: Sep. 19, 2026. [Online]. Available:</w:t>
      </w:r>
      <w:r>
        <w:t xml:space="preserve"> </w:t>
      </w:r>
      <w:hyperlink r:id="rId110">
        <w:r>
          <w:rPr>
            <w:rStyle w:val="Hyperlink"/>
          </w:rPr>
          <w:t xml:space="preserve">https://github.com/openbmc/openbmc</w:t>
        </w:r>
      </w:hyperlink>
    </w:p>
    <w:bookmarkEnd w:id="111"/>
    <w:bookmarkStart w:id="113" w:name="ref-bonkoski2013illuminating"/>
    <w:p>
      <w:pPr>
        <w:pStyle w:val="Bibliography"/>
      </w:pPr>
      <w:r>
        <w:t xml:space="preserve">[9]</w:t>
      </w:r>
      <w:r>
        <w:t xml:space="preserve"> </w:t>
      </w:r>
      <w:r>
        <w:t xml:space="preserve">	</w:t>
      </w:r>
      <w:r>
        <w:t xml:space="preserve">A. J. Bonkoski, R. Bielawski, and J. A. Halderman,</w:t>
      </w:r>
      <w:r>
        <w:t xml:space="preserve"> </w:t>
      </w:r>
      <w:r>
        <w:t xml:space="preserve">“Illuminating the security issues surrounding lights-out server management,”</w:t>
      </w:r>
      <w:r>
        <w:t xml:space="preserve"> </w:t>
      </w:r>
      <w:r>
        <w:t xml:space="preserve">in</w:t>
      </w:r>
      <w:r>
        <w:t xml:space="preserve"> </w:t>
      </w:r>
      <w:r>
        <w:rPr>
          <w:iCs/>
          <w:i/>
        </w:rPr>
        <w:t xml:space="preserve">7th USENIX workshop on offensive technologies (WOOT ’13)</w:t>
      </w:r>
      <w:r>
        <w:t xml:space="preserve">, Washington, D.C., USA: USENIX Association, 2013. Accessed: Sep. 19, 2026. [Online]. Available:</w:t>
      </w:r>
      <w:r>
        <w:t xml:space="preserve"> </w:t>
      </w:r>
      <w:hyperlink r:id="rId112">
        <w:r>
          <w:rPr>
            <w:rStyle w:val="Hyperlink"/>
          </w:rPr>
          <w:t xml:space="preserve">https://www.usenix.org/conference/woot13/workshop-program/presentation/bonkoski</w:t>
        </w:r>
      </w:hyperlink>
    </w:p>
    <w:bookmarkEnd w:id="113"/>
    <w:bookmarkStart w:id="115" w:name="ref-rfc1157"/>
    <w:p>
      <w:pPr>
        <w:pStyle w:val="Bibliography"/>
      </w:pPr>
      <w:r>
        <w:t xml:space="preserve">[10]</w:t>
      </w:r>
      <w:r>
        <w:t xml:space="preserve"> </w:t>
      </w:r>
      <w:r>
        <w:t xml:space="preserve">	</w:t>
      </w:r>
      <w:r>
        <w:t xml:space="preserve">J. Case, M. Fedor, M. Schoffstall, and J. Davin,</w:t>
      </w:r>
      <w:r>
        <w:t xml:space="preserve"> </w:t>
      </w:r>
      <w:r>
        <w:t xml:space="preserve">“A simple network management protocol (</w:t>
      </w:r>
      <w:r>
        <w:t xml:space="preserve">SNMP</w:t>
      </w:r>
      <w:r>
        <w:t xml:space="preserve">),”</w:t>
      </w:r>
      <w:r>
        <w:t xml:space="preserve"> </w:t>
      </w:r>
      <w:r>
        <w:t xml:space="preserve">Internet Engineering Task Force, RFC 1157, May 1990. doi:</w:t>
      </w:r>
      <w:r>
        <w:t xml:space="preserve"> </w:t>
      </w:r>
      <w:hyperlink r:id="rId114">
        <w:r>
          <w:rPr>
            <w:rStyle w:val="Hyperlink"/>
          </w:rPr>
          <w:t xml:space="preserve">10.17487/RFC1157</w:t>
        </w:r>
      </w:hyperlink>
      <w:r>
        <w:t xml:space="preserve">.</w:t>
      </w:r>
    </w:p>
    <w:bookmarkEnd w:id="115"/>
    <w:bookmarkStart w:id="117" w:name="ref-rfc3411"/>
    <w:p>
      <w:pPr>
        <w:pStyle w:val="Bibliography"/>
      </w:pPr>
      <w:r>
        <w:t xml:space="preserve">[11]</w:t>
      </w:r>
      <w:r>
        <w:t xml:space="preserve"> </w:t>
      </w:r>
      <w:r>
        <w:t xml:space="preserve">	</w:t>
      </w:r>
      <w:r>
        <w:t xml:space="preserve">D. Harrington, R. Presuhn, and B. Wijnen,</w:t>
      </w:r>
      <w:r>
        <w:t xml:space="preserve"> </w:t>
      </w:r>
      <w:r>
        <w:t xml:space="preserve">“An architecture for describing simple network management protocol (</w:t>
      </w:r>
      <w:r>
        <w:t xml:space="preserve">SNMP</w:t>
      </w:r>
      <w:r>
        <w:t xml:space="preserve">) management frameworks,”</w:t>
      </w:r>
      <w:r>
        <w:t xml:space="preserve"> </w:t>
      </w:r>
      <w:r>
        <w:t xml:space="preserve">Internet Engineering Task Force, RFC 3411, Dec. 2002. doi:</w:t>
      </w:r>
      <w:r>
        <w:t xml:space="preserve"> </w:t>
      </w:r>
      <w:hyperlink r:id="rId116">
        <w:r>
          <w:rPr>
            <w:rStyle w:val="Hyperlink"/>
          </w:rPr>
          <w:t xml:space="preserve">10.17487/RFC3411</w:t>
        </w:r>
      </w:hyperlink>
      <w:r>
        <w:t xml:space="preserve">.</w:t>
      </w:r>
    </w:p>
    <w:bookmarkEnd w:id="117"/>
    <w:bookmarkStart w:id="119" w:name="ref-dmtf_dsp2044"/>
    <w:p>
      <w:pPr>
        <w:pStyle w:val="Bibliography"/>
      </w:pPr>
      <w:r>
        <w:t xml:space="preserve">[12]</w:t>
      </w:r>
      <w:r>
        <w:t xml:space="preserve"> </w:t>
      </w:r>
      <w:r>
        <w:t xml:space="preserve">	</w:t>
      </w:r>
      <w:r>
        <w:t xml:space="preserve">DMTF,</w:t>
      </w:r>
      <w:r>
        <w:t xml:space="preserve"> </w:t>
      </w:r>
      <w:r>
        <w:t xml:space="preserve">“Redfish white paper,”</w:t>
      </w:r>
      <w:r>
        <w:t xml:space="preserve"> </w:t>
      </w:r>
      <w:r>
        <w:t xml:space="preserve">Distributed Management Task Force (DMTF), DMTF Informative Document DSP2044, Version 1.0.0, Aug. 2015. Accessed: Sep. 19, 2026. [Online]. Available:</w:t>
      </w:r>
      <w:r>
        <w:t xml:space="preserve"> </w:t>
      </w:r>
      <w:hyperlink r:id="rId118">
        <w:r>
          <w:rPr>
            <w:rStyle w:val="Hyperlink"/>
          </w:rPr>
          <w:t xml:space="preserve">https://www.dmtf.org/sites/default/files/standards/documents/DSP2044_1.0.0.pdf</w:t>
        </w:r>
      </w:hyperlink>
    </w:p>
    <w:bookmarkEnd w:id="119"/>
    <w:bookmarkStart w:id="121" w:name="ref-dmtf_dsp2046"/>
    <w:p>
      <w:pPr>
        <w:pStyle w:val="Bibliography"/>
      </w:pPr>
      <w:r>
        <w:t xml:space="preserve">[13]</w:t>
      </w:r>
      <w:r>
        <w:t xml:space="preserve"> </w:t>
      </w:r>
      <w:r>
        <w:t xml:space="preserve">	</w:t>
      </w:r>
      <w:r>
        <w:t xml:space="preserve">DMTF,</w:t>
      </w:r>
      <w:r>
        <w:t xml:space="preserve"> </w:t>
      </w:r>
      <w:r>
        <w:t xml:space="preserve">“Redfish resource and schema guide,”</w:t>
      </w:r>
      <w:r>
        <w:t xml:space="preserve"> </w:t>
      </w:r>
      <w:r>
        <w:t xml:space="preserve">Distributed Management Task Force (DMTF), DMTF Informational Document DSP2046, Version 2026.2, Aug. 2026. Accessed: Sep. 19, 2026. [Online]. Available:</w:t>
      </w:r>
      <w:r>
        <w:t xml:space="preserve"> </w:t>
      </w:r>
      <w:hyperlink r:id="rId120">
        <w:r>
          <w:rPr>
            <w:rStyle w:val="Hyperlink"/>
          </w:rPr>
          <w:t xml:space="preserve">https://www.dmtf.org/sites/default/files/standards/documents/DSP2046_2026.2.pdf</w:t>
        </w:r>
      </w:hyperlink>
    </w:p>
    <w:bookmarkEnd w:id="121"/>
    <w:bookmarkStart w:id="123" w:name="ref-snia_swordfish"/>
    <w:p>
      <w:pPr>
        <w:pStyle w:val="Bibliography"/>
      </w:pPr>
      <w:r>
        <w:t xml:space="preserve">[14]</w:t>
      </w:r>
      <w:r>
        <w:t xml:space="preserve"> </w:t>
      </w:r>
      <w:r>
        <w:t xml:space="preserve">	</w:t>
      </w:r>
      <w:r>
        <w:t xml:space="preserve">SNIA,</w:t>
      </w:r>
      <w:r>
        <w:t xml:space="preserve"> </w:t>
      </w:r>
      <w:r>
        <w:t xml:space="preserve">“Swordfish scalable storage management</w:t>
      </w:r>
      <w:r>
        <w:t xml:space="preserve"> </w:t>
      </w:r>
      <w:r>
        <w:t xml:space="preserve">API</w:t>
      </w:r>
      <w:r>
        <w:t xml:space="preserve"> </w:t>
      </w:r>
      <w:r>
        <w:t xml:space="preserve">specification,”</w:t>
      </w:r>
      <w:r>
        <w:t xml:space="preserve"> </w:t>
      </w:r>
      <w:r>
        <w:t xml:space="preserve">Storage Networking Industry Association (SNIA), SNIA Technical Specification Version 1.2.8, 2025. Accessed: Sep. 19, 2026. [Online]. Available:</w:t>
      </w:r>
      <w:r>
        <w:t xml:space="preserve"> </w:t>
      </w:r>
      <w:hyperlink r:id="rId122">
        <w:r>
          <w:rPr>
            <w:rStyle w:val="Hyperlink"/>
          </w:rPr>
          <w:t xml:space="preserve">https://www.snia.org/sites/default/files/technical-work/swordfish/release/v1.2.8/pdf/Swordfish_v1.2.8_Specification.pdf</w:t>
        </w:r>
      </w:hyperlink>
    </w:p>
    <w:bookmarkEnd w:id="123"/>
    <w:bookmarkStart w:id="125" w:name="ref-rfc8259"/>
    <w:p>
      <w:pPr>
        <w:pStyle w:val="Bibliography"/>
      </w:pPr>
      <w:r>
        <w:t xml:space="preserve">[15]</w:t>
      </w:r>
      <w:r>
        <w:t xml:space="preserve"> </w:t>
      </w:r>
      <w:r>
        <w:t xml:space="preserve">	</w:t>
      </w:r>
      <w:r>
        <w:t xml:space="preserve">T. Bray,</w:t>
      </w:r>
      <w:r>
        <w:t xml:space="preserve"> </w:t>
      </w:r>
      <w:r>
        <w:t xml:space="preserve">“The</w:t>
      </w:r>
      <w:r>
        <w:t xml:space="preserve"> </w:t>
      </w:r>
      <w:r>
        <w:t xml:space="preserve">JavaScript Object Notation (JSON)</w:t>
      </w:r>
      <w:r>
        <w:t xml:space="preserve"> </w:t>
      </w:r>
      <w:r>
        <w:t xml:space="preserve">data interchange format,”</w:t>
      </w:r>
      <w:r>
        <w:t xml:space="preserve"> </w:t>
      </w:r>
      <w:r>
        <w:t xml:space="preserve">Internet Engineering Task Force, RFC 8259, Dec. 2017. doi:</w:t>
      </w:r>
      <w:r>
        <w:t xml:space="preserve"> </w:t>
      </w:r>
      <w:hyperlink r:id="rId124">
        <w:r>
          <w:rPr>
            <w:rStyle w:val="Hyperlink"/>
          </w:rPr>
          <w:t xml:space="preserve">10.17487/RFC8259</w:t>
        </w:r>
      </w:hyperlink>
      <w:r>
        <w:t xml:space="preserve">.</w:t>
      </w:r>
    </w:p>
    <w:bookmarkEnd w:id="125"/>
    <w:bookmarkStart w:id="127" w:name="ref-dmtf_dsp0270"/>
    <w:p>
      <w:pPr>
        <w:pStyle w:val="Bibliography"/>
      </w:pPr>
      <w:r>
        <w:t xml:space="preserve">[16]</w:t>
      </w:r>
      <w:r>
        <w:t xml:space="preserve"> </w:t>
      </w:r>
      <w:r>
        <w:t xml:space="preserve">	</w:t>
      </w:r>
      <w:r>
        <w:t xml:space="preserve">DMTF,</w:t>
      </w:r>
      <w:r>
        <w:t xml:space="preserve"> </w:t>
      </w:r>
      <w:r>
        <w:t xml:space="preserve">“Redfish host interface specification,”</w:t>
      </w:r>
      <w:r>
        <w:t xml:space="preserve"> </w:t>
      </w:r>
      <w:r>
        <w:t xml:space="preserve">Distributed Management Task Force (DMTF), DMTF Standard DSP0270, Version 1.3.1, Aug. 2023. Accessed: Sep. 19, 2026. [Online]. Available:</w:t>
      </w:r>
      <w:r>
        <w:t xml:space="preserve"> </w:t>
      </w:r>
      <w:hyperlink r:id="rId126">
        <w:r>
          <w:rPr>
            <w:rStyle w:val="Hyperlink"/>
          </w:rPr>
          <w:t xml:space="preserve">https://www.dmtf.org/sites/default/files/standards/documents/DSP0270_1.3.1.pdf</w:t>
        </w:r>
      </w:hyperlink>
    </w:p>
    <w:bookmarkEnd w:id="127"/>
    <w:bookmarkStart w:id="129" w:name="ref-dmtf_dsp0218"/>
    <w:p>
      <w:pPr>
        <w:pStyle w:val="Bibliography"/>
      </w:pPr>
      <w:r>
        <w:t xml:space="preserve">[17]</w:t>
      </w:r>
      <w:r>
        <w:t xml:space="preserve"> </w:t>
      </w:r>
      <w:r>
        <w:t xml:space="preserve">	</w:t>
      </w:r>
      <w:r>
        <w:t xml:space="preserve">DMTF,</w:t>
      </w:r>
      <w:r>
        <w:t xml:space="preserve"> </w:t>
      </w:r>
      <w:r>
        <w:t xml:space="preserve">“Platform level data model (</w:t>
      </w:r>
      <w:r>
        <w:t xml:space="preserve">PLDM</w:t>
      </w:r>
      <w:r>
        <w:t xml:space="preserve">) for</w:t>
      </w:r>
      <w:r>
        <w:t xml:space="preserve"> </w:t>
      </w:r>
      <w:r>
        <w:t xml:space="preserve">Redfish</w:t>
      </w:r>
      <w:r>
        <w:t xml:space="preserve"> </w:t>
      </w:r>
      <w:r>
        <w:t xml:space="preserve">device enablement,”</w:t>
      </w:r>
      <w:r>
        <w:t xml:space="preserve"> </w:t>
      </w:r>
      <w:r>
        <w:t xml:space="preserve">Distributed Management Task Force (DMTF), DMTF Standard DSP0218, Version 1.2.0, Jun. 2024. Accessed: Sep. 19, 2026. [Online]. Available:</w:t>
      </w:r>
      <w:r>
        <w:t xml:space="preserve"> </w:t>
      </w:r>
      <w:hyperlink r:id="rId128">
        <w:r>
          <w:rPr>
            <w:rStyle w:val="Hyperlink"/>
          </w:rPr>
          <w:t xml:space="preserve">https://www.dmtf.org/sites/default/files/standards/documents/DSP0218_1.2.0.pdf</w:t>
        </w:r>
      </w:hyperlink>
    </w:p>
    <w:bookmarkEnd w:id="129"/>
    <w:bookmarkStart w:id="131" w:name="ref-dmtf_dsp2060"/>
    <w:p>
      <w:pPr>
        <w:pStyle w:val="Bibliography"/>
      </w:pPr>
      <w:r>
        <w:t xml:space="preserve">[18]</w:t>
      </w:r>
      <w:r>
        <w:t xml:space="preserve"> </w:t>
      </w:r>
      <w:r>
        <w:t xml:space="preserve">	</w:t>
      </w:r>
      <w:r>
        <w:t xml:space="preserve">DMTF,</w:t>
      </w:r>
      <w:r>
        <w:t xml:space="preserve"> </w:t>
      </w:r>
      <w:r>
        <w:t xml:space="preserve">“Redfish user guide,”</w:t>
      </w:r>
      <w:r>
        <w:t xml:space="preserve"> </w:t>
      </w:r>
      <w:r>
        <w:t xml:space="preserve">Distributed Management Task Force (DMTF), DMTF Informational Document DSP2060, Version 1.1.0, Aug. 2024. Accessed: Sep. 19, 2026. [Online]. Available:</w:t>
      </w:r>
      <w:r>
        <w:t xml:space="preserve"> </w:t>
      </w:r>
      <w:hyperlink r:id="rId130">
        <w:r>
          <w:rPr>
            <w:rStyle w:val="Hyperlink"/>
          </w:rPr>
          <w:t xml:space="preserve">https://www.dmtf.org/sites/default/files/standards/documents/DSP2060_1.1.0.pdf</w:t>
        </w:r>
      </w:hyperlink>
    </w:p>
    <w:bookmarkEnd w:id="131"/>
    <w:bookmarkStart w:id="133" w:name="ref-odata_v4"/>
    <w:p>
      <w:pPr>
        <w:pStyle w:val="Bibliography"/>
      </w:pPr>
      <w:r>
        <w:t xml:space="preserve">[19]</w:t>
      </w:r>
      <w:r>
        <w:t xml:space="preserve"> </w:t>
      </w:r>
      <w:r>
        <w:t xml:space="preserve">	</w:t>
      </w:r>
      <w:r>
        <w:t xml:space="preserve">M. Pizzo, R. Handl, and M. Zurmuehl,</w:t>
      </w:r>
      <w:r>
        <w:t xml:space="preserve"> </w:t>
      </w:r>
      <w:r>
        <w:t xml:space="preserve">“</w:t>
      </w:r>
      <w:r>
        <w:t xml:space="preserve">OData</w:t>
      </w:r>
      <w:r>
        <w:t xml:space="preserve"> </w:t>
      </w:r>
      <w:r>
        <w:t xml:space="preserve">version 4.01. Part 1: protocol,”</w:t>
      </w:r>
      <w:r>
        <w:t xml:space="preserve"> </w:t>
      </w:r>
      <w:r>
        <w:t xml:space="preserve">OASIS, OASIS Standard, Apr. 2020. Accessed: Sep. 19, 2026. [Online]. Available:</w:t>
      </w:r>
      <w:r>
        <w:t xml:space="preserve"> </w:t>
      </w:r>
      <w:hyperlink r:id="rId132">
        <w:r>
          <w:rPr>
            <w:rStyle w:val="Hyperlink"/>
          </w:rPr>
          <w:t xml:space="preserve">https://docs.oasis-open.org/odata/odata/v4.01/os/part1-protocol/odata-v4.01-os-part1-protocol.html</w:t>
        </w:r>
      </w:hyperlink>
    </w:p>
    <w:bookmarkEnd w:id="133"/>
    <w:bookmarkStart w:id="135" w:name="ref-odata_v4_json"/>
    <w:p>
      <w:pPr>
        <w:pStyle w:val="Bibliography"/>
      </w:pPr>
      <w:r>
        <w:t xml:space="preserve">[20]</w:t>
      </w:r>
      <w:r>
        <w:t xml:space="preserve"> </w:t>
      </w:r>
      <w:r>
        <w:t xml:space="preserve">	</w:t>
      </w:r>
      <w:r>
        <w:t xml:space="preserve">M. Pizzo, R. Handl, and M. Biamonte,</w:t>
      </w:r>
      <w:r>
        <w:t xml:space="preserve"> </w:t>
      </w:r>
      <w:r>
        <w:t xml:space="preserve">“</w:t>
      </w:r>
      <w:r>
        <w:t xml:space="preserve">OData</w:t>
      </w:r>
      <w:r>
        <w:t xml:space="preserve"> </w:t>
      </w:r>
      <w:r>
        <w:t xml:space="preserve">JSON</w:t>
      </w:r>
      <w:r>
        <w:t xml:space="preserve"> </w:t>
      </w:r>
      <w:r>
        <w:t xml:space="preserve">format version 4.01,”</w:t>
      </w:r>
      <w:r>
        <w:t xml:space="preserve"> </w:t>
      </w:r>
      <w:r>
        <w:t xml:space="preserve">OASIS, OASIS Standard, May 2020. Accessed: Sep. 19, 2026. [Online]. Available:</w:t>
      </w:r>
      <w:r>
        <w:t xml:space="preserve"> </w:t>
      </w:r>
      <w:hyperlink r:id="rId134">
        <w:r>
          <w:rPr>
            <w:rStyle w:val="Hyperlink"/>
          </w:rPr>
          <w:t xml:space="preserve">https://docs.oasis-open.org/odata/odata-json-format/v4.01/os/odata-json-format-v4.01-os.html</w:t>
        </w:r>
      </w:hyperlink>
    </w:p>
    <w:bookmarkEnd w:id="135"/>
    <w:bookmarkStart w:id="137" w:name="ref-dmtf_dsp2052"/>
    <w:p>
      <w:pPr>
        <w:pStyle w:val="Bibliography"/>
      </w:pPr>
      <w:r>
        <w:t xml:space="preserve">[21]</w:t>
      </w:r>
      <w:r>
        <w:t xml:space="preserve"> </w:t>
      </w:r>
      <w:r>
        <w:t xml:space="preserve">	</w:t>
      </w:r>
      <w:r>
        <w:t xml:space="preserve">DMTF,</w:t>
      </w:r>
      <w:r>
        <w:t xml:space="preserve"> </w:t>
      </w:r>
      <w:r>
        <w:t xml:space="preserve">“Redfish and</w:t>
      </w:r>
      <w:r>
        <w:t xml:space="preserve"> </w:t>
      </w:r>
      <w:r>
        <w:t xml:space="preserve">OData</w:t>
      </w:r>
      <w:r>
        <w:t xml:space="preserve"> </w:t>
      </w:r>
      <w:r>
        <w:t xml:space="preserve">white paper,”</w:t>
      </w:r>
      <w:r>
        <w:t xml:space="preserve"> </w:t>
      </w:r>
      <w:r>
        <w:t xml:space="preserve">Distributed Management Task Force (DMTF), DMTF Informative Document DSP2052, Version 1.0.0, Apr. 2018. Accessed: Sep. 19, 2026. [Online]. Available:</w:t>
      </w:r>
      <w:r>
        <w:t xml:space="preserve"> </w:t>
      </w:r>
      <w:hyperlink r:id="rId136">
        <w:r>
          <w:rPr>
            <w:rStyle w:val="Hyperlink"/>
          </w:rPr>
          <w:t xml:space="preserve">https://www.dmtf.org/sites/default/files/standards/documents/DSP2052_1.0.0.pdf</w:t>
        </w:r>
      </w:hyperlink>
    </w:p>
    <w:bookmarkEnd w:id="137"/>
    <w:bookmarkStart w:id="139" w:name="ref-dmtf_dsp8010"/>
    <w:p>
      <w:pPr>
        <w:pStyle w:val="Bibliography"/>
      </w:pPr>
      <w:r>
        <w:t xml:space="preserve">[22]</w:t>
      </w:r>
      <w:r>
        <w:t xml:space="preserve"> </w:t>
      </w:r>
      <w:r>
        <w:t xml:space="preserve">	</w:t>
      </w:r>
      <w:r>
        <w:t xml:space="preserve">DMTF,</w:t>
      </w:r>
      <w:r>
        <w:t xml:space="preserve"> </w:t>
      </w:r>
      <w:r>
        <w:t xml:space="preserve">“Redfish schema bundle (</w:t>
      </w:r>
      <w:r>
        <w:t xml:space="preserve">DSP8010</w:t>
      </w:r>
      <w:r>
        <w:t xml:space="preserve">).”</w:t>
      </w:r>
      <w:r>
        <w:t xml:space="preserve"> </w:t>
      </w:r>
      <w:r>
        <w:t xml:space="preserve">Distributed Management Task Force (DMTF), CSDL, JSON Schema and OpenAPI files, 2026. Accessed: Sep. 19, 2026. [Online]. Available:</w:t>
      </w:r>
      <w:r>
        <w:t xml:space="preserve"> </w:t>
      </w:r>
      <w:hyperlink r:id="rId138">
        <w:r>
          <w:rPr>
            <w:rStyle w:val="Hyperlink"/>
          </w:rPr>
          <w:t xml:space="preserve">https://www.dmtf.org/standards/redfish</w:t>
        </w:r>
      </w:hyperlink>
    </w:p>
    <w:bookmarkEnd w:id="139"/>
    <w:bookmarkStart w:id="141" w:name="ref-jsonschema2022"/>
    <w:p>
      <w:pPr>
        <w:pStyle w:val="Bibliography"/>
      </w:pPr>
      <w:r>
        <w:t xml:space="preserve">[23]</w:t>
      </w:r>
      <w:r>
        <w:t xml:space="preserve"> </w:t>
      </w:r>
      <w:r>
        <w:t xml:space="preserve">	</w:t>
      </w:r>
      <w:r>
        <w:t xml:space="preserve">A. Wright, H. Andrews, B. Hutton, and G. Dennis,</w:t>
      </w:r>
      <w:r>
        <w:t xml:space="preserve"> </w:t>
      </w:r>
      <w:r>
        <w:t xml:space="preserve">“</w:t>
      </w:r>
      <w:r>
        <w:t xml:space="preserve">JSON Schema</w:t>
      </w:r>
      <w:r>
        <w:t xml:space="preserve">: A media type for describing</w:t>
      </w:r>
      <w:r>
        <w:t xml:space="preserve"> </w:t>
      </w:r>
      <w:r>
        <w:t xml:space="preserve">JSON</w:t>
      </w:r>
      <w:r>
        <w:t xml:space="preserve"> </w:t>
      </w:r>
      <w:r>
        <w:t xml:space="preserve">documents,”</w:t>
      </w:r>
      <w:r>
        <w:t xml:space="preserve"> </w:t>
      </w:r>
      <w:r>
        <w:t xml:space="preserve">Internet Engineering Task Force, Internet-Draft draft-bhutton-json-schema-01, Jun. 2022. Accessed: Sep. 19, 2026. [Online]. Available:</w:t>
      </w:r>
      <w:r>
        <w:t xml:space="preserve"> </w:t>
      </w:r>
      <w:hyperlink r:id="rId140">
        <w:r>
          <w:rPr>
            <w:rStyle w:val="Hyperlink"/>
          </w:rPr>
          <w:t xml:space="preserve">https://datatracker.ietf.org/doc/html/draft-bhutton-json-schema-01</w:t>
        </w:r>
      </w:hyperlink>
    </w:p>
    <w:bookmarkEnd w:id="141"/>
    <w:bookmarkStart w:id="143" w:name="ref-openapi31"/>
    <w:p>
      <w:pPr>
        <w:pStyle w:val="Bibliography"/>
      </w:pPr>
      <w:r>
        <w:t xml:space="preserve">[24]</w:t>
      </w:r>
      <w:r>
        <w:t xml:space="preserve"> </w:t>
      </w:r>
      <w:r>
        <w:t xml:space="preserve">	</w:t>
      </w:r>
      <w:r>
        <w:t xml:space="preserve">OpenAPI Initiative,</w:t>
      </w:r>
      <w:r>
        <w:t xml:space="preserve"> </w:t>
      </w:r>
      <w:r>
        <w:t xml:space="preserve">“</w:t>
      </w:r>
      <w:r>
        <w:t xml:space="preserve">OpenAPI</w:t>
      </w:r>
      <w:r>
        <w:t xml:space="preserve"> </w:t>
      </w:r>
      <w:r>
        <w:t xml:space="preserve">specification, version 3.1.1.”</w:t>
      </w:r>
      <w:r>
        <w:t xml:space="preserve"> </w:t>
      </w:r>
      <w:r>
        <w:t xml:space="preserve">Linux Foundation / OpenAPI Initiative, Oct. 2024. Accessed: Sep. 19, 2026. [Online]. Available:</w:t>
      </w:r>
      <w:r>
        <w:t xml:space="preserve"> </w:t>
      </w:r>
      <w:hyperlink r:id="rId142">
        <w:r>
          <w:rPr>
            <w:rStyle w:val="Hyperlink"/>
          </w:rPr>
          <w:t xml:space="preserve">https://spec.openapis.org/oas/v3.1.1.html</w:t>
        </w:r>
      </w:hyperlink>
    </w:p>
    <w:bookmarkEnd w:id="143"/>
    <w:bookmarkStart w:id="145" w:name="ref-dmtf_mockup_server"/>
    <w:p>
      <w:pPr>
        <w:pStyle w:val="Bibliography"/>
      </w:pPr>
      <w:r>
        <w:t xml:space="preserve">[25]</w:t>
      </w:r>
      <w:r>
        <w:t xml:space="preserve"> </w:t>
      </w:r>
      <w:r>
        <w:t xml:space="preserve">	</w:t>
      </w:r>
      <w:r>
        <w:t xml:space="preserve">DMTF,</w:t>
      </w:r>
      <w:r>
        <w:t xml:space="preserve"> </w:t>
      </w:r>
      <w:r>
        <w:t xml:space="preserve">“</w:t>
      </w:r>
      <w:r>
        <w:t xml:space="preserve">Redfish Mockup Server</w:t>
      </w:r>
      <w:r>
        <w:t xml:space="preserve">.”</w:t>
      </w:r>
      <w:r>
        <w:t xml:space="preserve"> </w:t>
      </w:r>
      <w:r>
        <w:t xml:space="preserve">GitHub repository, 2016. Accessed: Sep. 19, 2026. [Online]. Available:</w:t>
      </w:r>
      <w:r>
        <w:t xml:space="preserve"> </w:t>
      </w:r>
      <w:hyperlink r:id="rId144">
        <w:r>
          <w:rPr>
            <w:rStyle w:val="Hyperlink"/>
          </w:rPr>
          <w:t xml:space="preserve">https://github.com/DMTF/Redfish-Mockup-Server</w:t>
        </w:r>
      </w:hyperlink>
    </w:p>
    <w:bookmarkEnd w:id="145"/>
    <w:bookmarkStart w:id="147" w:name="ref-dmtf_mockup_creator"/>
    <w:p>
      <w:pPr>
        <w:pStyle w:val="Bibliography"/>
      </w:pPr>
      <w:r>
        <w:t xml:space="preserve">[26]</w:t>
      </w:r>
      <w:r>
        <w:t xml:space="preserve"> </w:t>
      </w:r>
      <w:r>
        <w:t xml:space="preserve">	</w:t>
      </w:r>
      <w:r>
        <w:t xml:space="preserve">DMTF,</w:t>
      </w:r>
      <w:r>
        <w:t xml:space="preserve"> </w:t>
      </w:r>
      <w:r>
        <w:t xml:space="preserve">“</w:t>
      </w:r>
      <w:r>
        <w:t xml:space="preserve">Redfish Mockup Creator</w:t>
      </w:r>
      <w:r>
        <w:t xml:space="preserve">.”</w:t>
      </w:r>
      <w:r>
        <w:t xml:space="preserve"> </w:t>
      </w:r>
      <w:r>
        <w:t xml:space="preserve">GitHub repository, 2016. Accessed: Sep. 19, 2026. [Online]. Available:</w:t>
      </w:r>
      <w:r>
        <w:t xml:space="preserve"> </w:t>
      </w:r>
      <w:hyperlink r:id="rId146">
        <w:r>
          <w:rPr>
            <w:rStyle w:val="Hyperlink"/>
          </w:rPr>
          <w:t xml:space="preserve">https://github.com/DMTF/Redfish-Mockup-Creator</w:t>
        </w:r>
      </w:hyperlink>
    </w:p>
    <w:bookmarkEnd w:id="147"/>
    <w:bookmarkStart w:id="149" w:name="ref-dmtf_dsp0272"/>
    <w:p>
      <w:pPr>
        <w:pStyle w:val="Bibliography"/>
      </w:pPr>
      <w:r>
        <w:t xml:space="preserve">[27]</w:t>
      </w:r>
      <w:r>
        <w:t xml:space="preserve"> </w:t>
      </w:r>
      <w:r>
        <w:t xml:space="preserve">	</w:t>
      </w:r>
      <w:r>
        <w:t xml:space="preserve">DMTF,</w:t>
      </w:r>
      <w:r>
        <w:t xml:space="preserve"> </w:t>
      </w:r>
      <w:r>
        <w:t xml:space="preserve">“Redfish interoperability profiles,”</w:t>
      </w:r>
      <w:r>
        <w:t xml:space="preserve"> </w:t>
      </w:r>
      <w:r>
        <w:t xml:space="preserve">Distributed Management Task Force (DMTF), DMTF Standard DSP0272, Version 1.10.0, Apr. 2026. Accessed: Sep. 19, 2026. [Online]. Available:</w:t>
      </w:r>
      <w:r>
        <w:t xml:space="preserve"> </w:t>
      </w:r>
      <w:hyperlink r:id="rId148">
        <w:r>
          <w:rPr>
            <w:rStyle w:val="Hyperlink"/>
          </w:rPr>
          <w:t xml:space="preserve">https://www.dmtf.org/sites/default/files/standards/documents/DSP0272_1.10.0.pdf</w:t>
        </w:r>
      </w:hyperlink>
    </w:p>
    <w:bookmarkEnd w:id="149"/>
    <w:bookmarkStart w:id="151" w:name="ref-dmtf_service_validator"/>
    <w:p>
      <w:pPr>
        <w:pStyle w:val="Bibliography"/>
      </w:pPr>
      <w:r>
        <w:t xml:space="preserve">[28]</w:t>
      </w:r>
      <w:r>
        <w:t xml:space="preserve"> </w:t>
      </w:r>
      <w:r>
        <w:t xml:space="preserve">	</w:t>
      </w:r>
      <w:r>
        <w:t xml:space="preserve">DMTF,</w:t>
      </w:r>
      <w:r>
        <w:t xml:space="preserve"> </w:t>
      </w:r>
      <w:r>
        <w:t xml:space="preserve">“</w:t>
      </w:r>
      <w:r>
        <w:t xml:space="preserve">Redfish Service Validator</w:t>
      </w:r>
      <w:r>
        <w:t xml:space="preserve">.”</w:t>
      </w:r>
      <w:r>
        <w:t xml:space="preserve"> </w:t>
      </w:r>
      <w:r>
        <w:t xml:space="preserve">GitHub repository, 2016. Accessed: Sep. 19, 2026. [Online]. Available:</w:t>
      </w:r>
      <w:r>
        <w:t xml:space="preserve"> </w:t>
      </w:r>
      <w:hyperlink r:id="rId150">
        <w:r>
          <w:rPr>
            <w:rStyle w:val="Hyperlink"/>
          </w:rPr>
          <w:t xml:space="preserve">https://github.com/DMTF/Redfish-Service-Validator</w:t>
        </w:r>
      </w:hyperlink>
    </w:p>
    <w:bookmarkEnd w:id="151"/>
    <w:bookmarkStart w:id="152" w:name="ref-cormen2009introduction"/>
    <w:p>
      <w:pPr>
        <w:pStyle w:val="Bibliography"/>
      </w:pPr>
      <w:r>
        <w:t xml:space="preserve">[29]</w:t>
      </w:r>
      <w:r>
        <w:t xml:space="preserve"> </w:t>
      </w:r>
      <w:r>
        <w:t xml:space="preserve">	</w:t>
      </w:r>
      <w:r>
        <w:t xml:space="preserve">T. H. Cormen, C. E. Leiserson, R. L. Rivest, and C. Stein,</w:t>
      </w:r>
      <w:r>
        <w:t xml:space="preserve"> </w:t>
      </w:r>
      <w:r>
        <w:rPr>
          <w:iCs/>
          <w:i/>
        </w:rPr>
        <w:t xml:space="preserve">Introduction to algorithms</w:t>
      </w:r>
      <w:r>
        <w:t xml:space="preserve">, 3rd ed. Cambridge, MA: MIT Press, 2009.</w:t>
      </w:r>
    </w:p>
    <w:bookmarkEnd w:id="152"/>
    <w:bookmarkStart w:id="153" w:name="ref-moore1959shortest"/>
    <w:p>
      <w:pPr>
        <w:pStyle w:val="Bibliography"/>
      </w:pPr>
      <w:r>
        <w:t xml:space="preserve">[30]</w:t>
      </w:r>
      <w:r>
        <w:t xml:space="preserve"> </w:t>
      </w:r>
      <w:r>
        <w:t xml:space="preserve">	</w:t>
      </w:r>
      <w:r>
        <w:t xml:space="preserve">E. F. Moore,</w:t>
      </w:r>
      <w:r>
        <w:t xml:space="preserve"> </w:t>
      </w:r>
      <w:r>
        <w:t xml:space="preserve">“The shortest path through a maze,”</w:t>
      </w:r>
      <w:r>
        <w:t xml:space="preserve"> </w:t>
      </w:r>
      <w:r>
        <w:t xml:space="preserve">in</w:t>
      </w:r>
      <w:r>
        <w:t xml:space="preserve"> </w:t>
      </w:r>
      <w:r>
        <w:rPr>
          <w:iCs/>
          <w:i/>
        </w:rPr>
        <w:t xml:space="preserve">Proceedings of the international symposium on the theory of switching, part II</w:t>
      </w:r>
      <w:r>
        <w:t xml:space="preserve">, in Annals of the computation laboratory of harvard university, vol. 30. Cambridge, MA: Harvard University Press, 1959, pp. 285–292.</w:t>
      </w:r>
    </w:p>
    <w:bookmarkEnd w:id="153"/>
    <w:bookmarkStart w:id="155" w:name="ref-najork2001breadth"/>
    <w:p>
      <w:pPr>
        <w:pStyle w:val="Bibliography"/>
      </w:pPr>
      <w:r>
        <w:t xml:space="preserve">[31]</w:t>
      </w:r>
      <w:r>
        <w:t xml:space="preserve"> </w:t>
      </w:r>
      <w:r>
        <w:t xml:space="preserve">	</w:t>
      </w:r>
      <w:r>
        <w:t xml:space="preserve">M. Najork and J. L. Wiener,</w:t>
      </w:r>
      <w:r>
        <w:t xml:space="preserve"> </w:t>
      </w:r>
      <w:r>
        <w:t xml:space="preserve">“Breadth-first crawling yields high-quality pages,”</w:t>
      </w:r>
      <w:r>
        <w:t xml:space="preserve"> </w:t>
      </w:r>
      <w:r>
        <w:t xml:space="preserve">in</w:t>
      </w:r>
      <w:r>
        <w:t xml:space="preserve"> </w:t>
      </w:r>
      <w:r>
        <w:rPr>
          <w:iCs/>
          <w:i/>
        </w:rPr>
        <w:t xml:space="preserve">Proceedings of the 10th international conference on world wide web (WWW ’01)</w:t>
      </w:r>
      <w:r>
        <w:t xml:space="preserve">, Hong Kong: ACM, 2001, pp. 114–118. doi:</w:t>
      </w:r>
      <w:r>
        <w:t xml:space="preserve"> </w:t>
      </w:r>
      <w:hyperlink r:id="rId154">
        <w:r>
          <w:rPr>
            <w:rStyle w:val="Hyperlink"/>
          </w:rPr>
          <w:t xml:space="preserve">10.1145/371920.371965</w:t>
        </w:r>
      </w:hyperlink>
      <w:r>
        <w:t xml:space="preserve">.</w:t>
      </w:r>
    </w:p>
    <w:bookmarkEnd w:id="155"/>
    <w:bookmarkStart w:id="157" w:name="ref-goncalves2019standard"/>
    <w:p>
      <w:pPr>
        <w:pStyle w:val="Bibliography"/>
      </w:pPr>
      <w:r>
        <w:t xml:space="preserve">[32]</w:t>
      </w:r>
      <w:r>
        <w:t xml:space="preserve"> </w:t>
      </w:r>
      <w:r>
        <w:t xml:space="preserve">	</w:t>
      </w:r>
      <w:r>
        <w:t xml:space="preserve">G. E. Gonçalves</w:t>
      </w:r>
      <w:r>
        <w:t xml:space="preserve"> </w:t>
      </w:r>
      <w:r>
        <w:rPr>
          <w:iCs/>
          <w:i/>
        </w:rPr>
        <w:t xml:space="preserve">et al.</w:t>
      </w:r>
      <w:r>
        <w:t xml:space="preserve">,</w:t>
      </w:r>
      <w:r>
        <w:t xml:space="preserve"> </w:t>
      </w:r>
      <w:r>
        <w:t xml:space="preserve">“A standard to rule them all:</w:t>
      </w:r>
      <w:r>
        <w:t xml:space="preserve"> </w:t>
      </w:r>
      <w:r>
        <w:t xml:space="preserve">Redfish</w:t>
      </w:r>
      <w:r>
        <w:t xml:space="preserve">,”</w:t>
      </w:r>
      <w:r>
        <w:t xml:space="preserve"> </w:t>
      </w:r>
      <w:r>
        <w:rPr>
          <w:iCs/>
          <w:i/>
        </w:rPr>
        <w:t xml:space="preserve">IEEE Communications Standards Magazine</w:t>
      </w:r>
      <w:r>
        <w:t xml:space="preserve">, vol. 3, no. 2, pp. 36–43, 2019, doi:</w:t>
      </w:r>
      <w:r>
        <w:t xml:space="preserve"> </w:t>
      </w:r>
      <w:hyperlink r:id="rId156">
        <w:r>
          <w:rPr>
            <w:rStyle w:val="Hyperlink"/>
          </w:rPr>
          <w:t xml:space="preserve">10.1109/MCOMSTD.2019.1800045</w:t>
        </w:r>
      </w:hyperlink>
      <w:r>
        <w:t xml:space="preserve">.</w:t>
      </w:r>
    </w:p>
    <w:bookmarkEnd w:id="157"/>
    <w:bookmarkStart w:id="159" w:name="ref-hojati2017benchmarking"/>
    <w:p>
      <w:pPr>
        <w:pStyle w:val="Bibliography"/>
      </w:pPr>
      <w:r>
        <w:t xml:space="preserve">[33]</w:t>
      </w:r>
      <w:r>
        <w:t xml:space="preserve"> </w:t>
      </w:r>
      <w:r>
        <w:t xml:space="preserve">	</w:t>
      </w:r>
      <w:r>
        <w:t xml:space="preserve">E. Hojati, Y. Chen, and A. Sill,</w:t>
      </w:r>
      <w:r>
        <w:t xml:space="preserve"> </w:t>
      </w:r>
      <w:r>
        <w:t xml:space="preserve">“Benchmarking automated hardware management technologies for modern data centers and cloud environments,”</w:t>
      </w:r>
      <w:r>
        <w:t xml:space="preserve"> </w:t>
      </w:r>
      <w:r>
        <w:t xml:space="preserve">in</w:t>
      </w:r>
      <w:r>
        <w:t xml:space="preserve"> </w:t>
      </w:r>
      <w:r>
        <w:rPr>
          <w:iCs/>
          <w:i/>
        </w:rPr>
        <w:t xml:space="preserve">Proceedings of the 10th international conference on utility and cloud computing (UCC ’17)</w:t>
      </w:r>
      <w:r>
        <w:t xml:space="preserve">, Austin, TX, USA: ACM, 2017, pp. 195–196. doi:</w:t>
      </w:r>
      <w:r>
        <w:t xml:space="preserve"> </w:t>
      </w:r>
      <w:hyperlink r:id="rId158">
        <w:r>
          <w:rPr>
            <w:rStyle w:val="Hyperlink"/>
          </w:rPr>
          <w:t xml:space="preserve">10.1145/3147213.3149212</w:t>
        </w:r>
      </w:hyperlink>
      <w:r>
        <w:t xml:space="preserve">.</w:t>
      </w:r>
    </w:p>
    <w:bookmarkEnd w:id="159"/>
    <w:bookmarkStart w:id="161" w:name="ref-hojati2020rgb"/>
    <w:p>
      <w:pPr>
        <w:pStyle w:val="Bibliography"/>
      </w:pPr>
      <w:r>
        <w:t xml:space="preserve">[34]</w:t>
      </w:r>
      <w:r>
        <w:t xml:space="preserve"> </w:t>
      </w:r>
      <w:r>
        <w:t xml:space="preserve">	</w:t>
      </w:r>
      <w:r>
        <w:t xml:space="preserve">E. Hojati, J. Hass, A. Sill, and Y. Chen,</w:t>
      </w:r>
      <w:r>
        <w:t xml:space="preserve"> </w:t>
      </w:r>
      <w:r>
        <w:t xml:space="preserve">“</w:t>
      </w:r>
      <w:r>
        <w:t xml:space="preserve">Redfish Green500 Benchmarker (RGB)</w:t>
      </w:r>
      <w:r>
        <w:t xml:space="preserve">: Towards automation of the</w:t>
      </w:r>
      <w:r>
        <w:t xml:space="preserve"> </w:t>
      </w:r>
      <w:r>
        <w:t xml:space="preserve">Green500</w:t>
      </w:r>
      <w:r>
        <w:t xml:space="preserve"> </w:t>
      </w:r>
      <w:r>
        <w:t xml:space="preserve">process for data centers,”</w:t>
      </w:r>
      <w:r>
        <w:t xml:space="preserve"> </w:t>
      </w:r>
      <w:r>
        <w:t xml:space="preserve">in</w:t>
      </w:r>
      <w:r>
        <w:t xml:space="preserve"> </w:t>
      </w:r>
      <w:r>
        <w:rPr>
          <w:iCs/>
          <w:i/>
        </w:rPr>
        <w:t xml:space="preserve">2020 IEEE green technologies conference (GreenTech)</w:t>
      </w:r>
      <w:r>
        <w:t xml:space="preserve">, Oklahoma City, OK, USA: IEEE, 2020, pp. 47–52. doi:</w:t>
      </w:r>
      <w:r>
        <w:t xml:space="preserve"> </w:t>
      </w:r>
      <w:hyperlink r:id="rId160">
        <w:r>
          <w:rPr>
            <w:rStyle w:val="Hyperlink"/>
          </w:rPr>
          <w:t xml:space="preserve">10.1109/GreenTech46478.2020.9289729</w:t>
        </w:r>
      </w:hyperlink>
      <w:r>
        <w:t xml:space="preserve">.</w:t>
      </w:r>
    </w:p>
    <w:bookmarkEnd w:id="161"/>
    <w:bookmarkStart w:id="163" w:name="ref-nsfcac_monster"/>
    <w:p>
      <w:pPr>
        <w:pStyle w:val="Bibliography"/>
      </w:pPr>
      <w:r>
        <w:t xml:space="preserve">[35]</w:t>
      </w:r>
      <w:r>
        <w:t xml:space="preserve"> </w:t>
      </w:r>
      <w:r>
        <w:t xml:space="preserve">	</w:t>
      </w:r>
      <w:r>
        <w:t xml:space="preserve">NSF Cloud and Autonomic Computing Center, Texas Tech University,</w:t>
      </w:r>
      <w:r>
        <w:t xml:space="preserve"> </w:t>
      </w:r>
      <w:r>
        <w:t xml:space="preserve">“</w:t>
      </w:r>
      <w:r>
        <w:t xml:space="preserve">MonSTer</w:t>
      </w:r>
      <w:r>
        <w:t xml:space="preserve">: Monitoring tool for</w:t>
      </w:r>
      <w:r>
        <w:t xml:space="preserve"> </w:t>
      </w:r>
      <w:r>
        <w:t xml:space="preserve">HPC</w:t>
      </w:r>
      <w:r>
        <w:t xml:space="preserve"> </w:t>
      </w:r>
      <w:r>
        <w:t xml:space="preserve">metrics from batch scheduler and</w:t>
      </w:r>
      <w:r>
        <w:t xml:space="preserve"> </w:t>
      </w:r>
      <w:r>
        <w:t xml:space="preserve">BMC</w:t>
      </w:r>
      <w:r>
        <w:t xml:space="preserve"> </w:t>
      </w:r>
      <w:r>
        <w:t xml:space="preserve">resources.”</w:t>
      </w:r>
      <w:r>
        <w:t xml:space="preserve"> </w:t>
      </w:r>
      <w:r>
        <w:t xml:space="preserve">GitHub repository, 2020. Accessed: Sep. 19, 2026. [Online]. Available:</w:t>
      </w:r>
      <w:r>
        <w:t xml:space="preserve"> </w:t>
      </w:r>
      <w:hyperlink r:id="rId162">
        <w:r>
          <w:rPr>
            <w:rStyle w:val="Hyperlink"/>
          </w:rPr>
          <w:t xml:space="preserve">https://github.com/nsfcac/MonSter</w:t>
        </w:r>
      </w:hyperlink>
    </w:p>
    <w:bookmarkEnd w:id="163"/>
    <w:bookmarkStart w:id="165" w:name="ref-ali2023scalable"/>
    <w:p>
      <w:pPr>
        <w:pStyle w:val="Bibliography"/>
      </w:pPr>
      <w:r>
        <w:t xml:space="preserve">[36]</w:t>
      </w:r>
      <w:r>
        <w:t xml:space="preserve"> </w:t>
      </w:r>
      <w:r>
        <w:t xml:space="preserve">	</w:t>
      </w:r>
      <w:r>
        <w:t xml:space="preserve">G. Ali, J. Hass, A. Sill, E. Hojati, T. Dang, and Y. Chen,</w:t>
      </w:r>
      <w:r>
        <w:t xml:space="preserve"> </w:t>
      </w:r>
      <w:r>
        <w:t xml:space="preserve">“A scalable, distributed monitoring framework for</w:t>
      </w:r>
      <w:r>
        <w:t xml:space="preserve"> </w:t>
      </w:r>
      <w:r>
        <w:t xml:space="preserve">HPC</w:t>
      </w:r>
      <w:r>
        <w:t xml:space="preserve"> </w:t>
      </w:r>
      <w:r>
        <w:t xml:space="preserve">clusters using</w:t>
      </w:r>
      <w:r>
        <w:t xml:space="preserve"> </w:t>
      </w:r>
      <w:r>
        <w:t xml:space="preserve">Redfish-Nagios</w:t>
      </w:r>
      <w:r>
        <w:t xml:space="preserve"> </w:t>
      </w:r>
      <w:r>
        <w:t xml:space="preserve">integration.”</w:t>
      </w:r>
      <w:r>
        <w:t xml:space="preserve"> </w:t>
      </w:r>
      <w:r>
        <w:t xml:space="preserve">Research Square preprint (CC BY 4.0), Apr. 2023. doi:</w:t>
      </w:r>
      <w:r>
        <w:t xml:space="preserve"> </w:t>
      </w:r>
      <w:hyperlink r:id="rId164">
        <w:r>
          <w:rPr>
            <w:rStyle w:val="Hyperlink"/>
          </w:rPr>
          <w:t xml:space="preserve">10.21203/rs.3.rs-2749012/v1</w:t>
        </w:r>
      </w:hyperlink>
      <w:r>
        <w:t xml:space="preserve">.</w:t>
      </w:r>
    </w:p>
    <w:bookmarkEnd w:id="165"/>
    <w:bookmarkStart w:id="167" w:name="ref-agelastos2014ldms"/>
    <w:p>
      <w:pPr>
        <w:pStyle w:val="Bibliography"/>
      </w:pPr>
      <w:r>
        <w:t xml:space="preserve">[37]</w:t>
      </w:r>
      <w:r>
        <w:t xml:space="preserve"> </w:t>
      </w:r>
      <w:r>
        <w:t xml:space="preserve">	</w:t>
      </w:r>
      <w:r>
        <w:t xml:space="preserve">A. Agelastos</w:t>
      </w:r>
      <w:r>
        <w:t xml:space="preserve"> </w:t>
      </w:r>
      <w:r>
        <w:rPr>
          <w:iCs/>
          <w:i/>
        </w:rPr>
        <w:t xml:space="preserve">et al.</w:t>
      </w:r>
      <w:r>
        <w:t xml:space="preserve">,</w:t>
      </w:r>
      <w:r>
        <w:t xml:space="preserve"> </w:t>
      </w:r>
      <w:r>
        <w:t xml:space="preserve">“The lightweight distributed metric service: A scalable infrastructure for continuous monitoring of large scale computing systems and applications,”</w:t>
      </w:r>
      <w:r>
        <w:t xml:space="preserve"> </w:t>
      </w:r>
      <w:r>
        <w:t xml:space="preserve">in</w:t>
      </w:r>
      <w:r>
        <w:t xml:space="preserve"> </w:t>
      </w:r>
      <w:r>
        <w:rPr>
          <w:iCs/>
          <w:i/>
        </w:rPr>
        <w:t xml:space="preserve">SC14: International conference for high performance computing, networking, storage and analysis</w:t>
      </w:r>
      <w:r>
        <w:t xml:space="preserve">, New Orleans, LA, USA: IEEE, 2014, pp. 154–165. doi:</w:t>
      </w:r>
      <w:r>
        <w:t xml:space="preserve"> </w:t>
      </w:r>
      <w:hyperlink r:id="rId166">
        <w:r>
          <w:rPr>
            <w:rStyle w:val="Hyperlink"/>
          </w:rPr>
          <w:t xml:space="preserve">10.1109/SC.2014.18</w:t>
        </w:r>
      </w:hyperlink>
      <w:r>
        <w:t xml:space="preserve">.</w:t>
      </w:r>
    </w:p>
    <w:bookmarkEnd w:id="167"/>
    <w:bookmarkStart w:id="169" w:name="ref-libri2018dig"/>
    <w:p>
      <w:pPr>
        <w:pStyle w:val="Bibliography"/>
      </w:pPr>
      <w:r>
        <w:t xml:space="preserve">[38]</w:t>
      </w:r>
      <w:r>
        <w:t xml:space="preserve"> </w:t>
      </w:r>
      <w:r>
        <w:t xml:space="preserve">	</w:t>
      </w:r>
      <w:r>
        <w:t xml:space="preserve">A. Libri, A. Bartolini, and L. Benini,</w:t>
      </w:r>
      <w:r>
        <w:t xml:space="preserve"> </w:t>
      </w:r>
      <w:r>
        <w:t xml:space="preserve">“</w:t>
      </w:r>
      <w:r>
        <w:t xml:space="preserve">DiG</w:t>
      </w:r>
      <w:r>
        <w:t xml:space="preserve">: Enabling out-of-band scalable high-resolution monitoring for data-center analytics, automation and control (extended).”</w:t>
      </w:r>
      <w:r>
        <w:t xml:space="preserve"> </w:t>
      </w:r>
      <w:r>
        <w:t xml:space="preserve">2018. doi:</w:t>
      </w:r>
      <w:r>
        <w:t xml:space="preserve"> </w:t>
      </w:r>
      <w:hyperlink r:id="rId168">
        <w:r>
          <w:rPr>
            <w:rStyle w:val="Hyperlink"/>
          </w:rPr>
          <w:t xml:space="preserve">10.48550/arXiv.1806.02698</w:t>
        </w:r>
      </w:hyperlink>
      <w:r>
        <w:t xml:space="preserve">.</w:t>
      </w:r>
    </w:p>
    <w:bookmarkEnd w:id="169"/>
    <w:bookmarkStart w:id="171" w:name="ref-chen2023pmfault"/>
    <w:p>
      <w:pPr>
        <w:pStyle w:val="Bibliography"/>
      </w:pPr>
      <w:r>
        <w:t xml:space="preserve">[39]</w:t>
      </w:r>
      <w:r>
        <w:t xml:space="preserve"> </w:t>
      </w:r>
      <w:r>
        <w:t xml:space="preserve">	</w:t>
      </w:r>
      <w:r>
        <w:t xml:space="preserve">Z. Chen and D. Oswald,</w:t>
      </w:r>
      <w:r>
        <w:t xml:space="preserve"> </w:t>
      </w:r>
      <w:r>
        <w:t xml:space="preserve">“</w:t>
      </w:r>
      <w:r>
        <w:t xml:space="preserve">PMFault</w:t>
      </w:r>
      <w:r>
        <w:t xml:space="preserve">: Faulting and bricking server</w:t>
      </w:r>
      <w:r>
        <w:t xml:space="preserve"> </w:t>
      </w:r>
      <w:r>
        <w:t xml:space="preserve">CPUs</w:t>
      </w:r>
      <w:r>
        <w:t xml:space="preserve"> </w:t>
      </w:r>
      <w:r>
        <w:t xml:space="preserve">through management interfaces,”</w:t>
      </w:r>
      <w:r>
        <w:t xml:space="preserve"> </w:t>
      </w:r>
      <w:r>
        <w:rPr>
          <w:iCs/>
          <w:i/>
        </w:rPr>
        <w:t xml:space="preserve">IACR Transactions on Cryptographic Hardware and Embedded Systems</w:t>
      </w:r>
      <w:r>
        <w:t xml:space="preserve">, vol. 2023, no. 2, pp. 1–23, 2023, doi:</w:t>
      </w:r>
      <w:r>
        <w:t xml:space="preserve"> </w:t>
      </w:r>
      <w:hyperlink r:id="rId170">
        <w:r>
          <w:rPr>
            <w:rStyle w:val="Hyperlink"/>
          </w:rPr>
          <w:t xml:space="preserve">10.46586/tches.v2023.i2.1-23</w:t>
        </w:r>
      </w:hyperlink>
      <w:r>
        <w:t xml:space="preserve">.</w:t>
      </w:r>
    </w:p>
    <w:bookmarkEnd w:id="171"/>
    <w:bookmarkStart w:id="173" w:name="ref-almeida2026iec62443"/>
    <w:p>
      <w:pPr>
        <w:pStyle w:val="Bibliography"/>
      </w:pPr>
      <w:r>
        <w:t xml:space="preserve">[40]</w:t>
      </w:r>
      <w:r>
        <w:t xml:space="preserve"> </w:t>
      </w:r>
      <w:r>
        <w:t xml:space="preserve">	</w:t>
      </w:r>
      <w:r>
        <w:t xml:space="preserve">D. S. Almeida, P. R. Barros, G. Acioli Júnior, and T. A. M. Euzébio,</w:t>
      </w:r>
      <w:r>
        <w:t xml:space="preserve"> </w:t>
      </w:r>
      <w:r>
        <w:t xml:space="preserve">“Implementation guide for secure</w:t>
      </w:r>
      <w:r>
        <w:t xml:space="preserve"> </w:t>
      </w:r>
      <w:r>
        <w:t xml:space="preserve">RESTful</w:t>
      </w:r>
      <w:r>
        <w:t xml:space="preserve"> </w:t>
      </w:r>
      <w:r>
        <w:t xml:space="preserve">asset management</w:t>
      </w:r>
      <w:r>
        <w:t xml:space="preserve"> </w:t>
      </w:r>
      <w:r>
        <w:t xml:space="preserve">APIs</w:t>
      </w:r>
      <w:r>
        <w:t xml:space="preserve"> </w:t>
      </w:r>
      <w:r>
        <w:t xml:space="preserve">under</w:t>
      </w:r>
      <w:r>
        <w:t xml:space="preserve"> </w:t>
      </w:r>
      <w:r>
        <w:t xml:space="preserve">IEC</w:t>
      </w:r>
      <w:r>
        <w:t xml:space="preserve"> </w:t>
      </w:r>
      <w:r>
        <w:t xml:space="preserve">62443-4-2: A</w:t>
      </w:r>
      <w:r>
        <w:t xml:space="preserve"> </w:t>
      </w:r>
      <w:r>
        <w:t xml:space="preserve">Redfish</w:t>
      </w:r>
      <w:r>
        <w:t xml:space="preserve"> </w:t>
      </w:r>
      <w:r>
        <w:t xml:space="preserve">case study,”</w:t>
      </w:r>
      <w:r>
        <w:t xml:space="preserve"> </w:t>
      </w:r>
      <w:r>
        <w:rPr>
          <w:iCs/>
          <w:i/>
        </w:rPr>
        <w:t xml:space="preserve">IEEE Access</w:t>
      </w:r>
      <w:r>
        <w:t xml:space="preserve">, vol. 14, pp. 42015–42038, 2026, doi:</w:t>
      </w:r>
      <w:r>
        <w:t xml:space="preserve"> </w:t>
      </w:r>
      <w:hyperlink r:id="rId172">
        <w:r>
          <w:rPr>
            <w:rStyle w:val="Hyperlink"/>
          </w:rPr>
          <w:t xml:space="preserve">10.1109/ACCESS.2026.3674966</w:t>
        </w:r>
      </w:hyperlink>
      <w:r>
        <w:t xml:space="preserve">.</w:t>
      </w:r>
    </w:p>
    <w:bookmarkEnd w:id="173"/>
    <w:bookmarkStart w:id="175" w:name="ref-dmtf_python_redfish"/>
    <w:p>
      <w:pPr>
        <w:pStyle w:val="Bibliography"/>
      </w:pPr>
      <w:r>
        <w:t xml:space="preserve">[41]</w:t>
      </w:r>
      <w:r>
        <w:t xml:space="preserve"> </w:t>
      </w:r>
      <w:r>
        <w:t xml:space="preserve">	</w:t>
      </w:r>
      <w:r>
        <w:t xml:space="preserve">DMTF,</w:t>
      </w:r>
      <w:r>
        <w:t xml:space="preserve"> </w:t>
      </w:r>
      <w:r>
        <w:t xml:space="preserve">“Python-redfish-library.”</w:t>
      </w:r>
      <w:r>
        <w:t xml:space="preserve"> </w:t>
      </w:r>
      <w:r>
        <w:t xml:space="preserve">GitHub repository, 2016. Accessed: Sep. 19, 2026. [Online]. Available:</w:t>
      </w:r>
      <w:r>
        <w:t xml:space="preserve"> </w:t>
      </w:r>
      <w:hyperlink r:id="rId174">
        <w:r>
          <w:rPr>
            <w:rStyle w:val="Hyperlink"/>
          </w:rPr>
          <w:t xml:space="preserve">https://github.com/DMTF/python-redfish-library</w:t>
        </w:r>
      </w:hyperlink>
    </w:p>
    <w:bookmarkEnd w:id="175"/>
    <w:bookmarkStart w:id="177" w:name="ref-sushy"/>
    <w:p>
      <w:pPr>
        <w:pStyle w:val="Bibliography"/>
      </w:pPr>
      <w:r>
        <w:t xml:space="preserve">[42]</w:t>
      </w:r>
      <w:r>
        <w:t xml:space="preserve"> </w:t>
      </w:r>
      <w:r>
        <w:t xml:space="preserve">	</w:t>
      </w:r>
      <w:r>
        <w:t xml:space="preserve">OpenStack,</w:t>
      </w:r>
      <w:r>
        <w:t xml:space="preserve"> </w:t>
      </w:r>
      <w:r>
        <w:t xml:space="preserve">“Sushy: A</w:t>
      </w:r>
      <w:r>
        <w:t xml:space="preserve"> </w:t>
      </w:r>
      <w:r>
        <w:t xml:space="preserve">Python</w:t>
      </w:r>
      <w:r>
        <w:t xml:space="preserve"> </w:t>
      </w:r>
      <w:r>
        <w:t xml:space="preserve">library to communicate with</w:t>
      </w:r>
      <w:r>
        <w:t xml:space="preserve"> </w:t>
      </w:r>
      <w:r>
        <w:t xml:space="preserve">Redfish</w:t>
      </w:r>
      <w:r>
        <w:t xml:space="preserve"> </w:t>
      </w:r>
      <w:r>
        <w:t xml:space="preserve">based systems.”</w:t>
      </w:r>
      <w:r>
        <w:t xml:space="preserve"> </w:t>
      </w:r>
      <w:r>
        <w:t xml:space="preserve">OpenStack project, mirrored on GitHub, 2017. Accessed: Sep. 19, 2026. [Online]. Available:</w:t>
      </w:r>
      <w:r>
        <w:t xml:space="preserve"> </w:t>
      </w:r>
      <w:hyperlink r:id="rId176">
        <w:r>
          <w:rPr>
            <w:rStyle w:val="Hyperlink"/>
          </w:rPr>
          <w:t xml:space="preserve">https://opendev.org/openstack/sushy</w:t>
        </w:r>
      </w:hyperlink>
    </w:p>
    <w:bookmarkEnd w:id="177"/>
    <w:bookmarkStart w:id="179" w:name="ref-redfish_exporter"/>
    <w:p>
      <w:pPr>
        <w:pStyle w:val="Bibliography"/>
      </w:pPr>
      <w:r>
        <w:t xml:space="preserve">[43]</w:t>
      </w:r>
      <w:r>
        <w:t xml:space="preserve"> </w:t>
      </w:r>
      <w:r>
        <w:t xml:space="preserve">	</w:t>
      </w:r>
      <w:r>
        <w:t xml:space="preserve">jenningsloy318,</w:t>
      </w:r>
      <w:r>
        <w:t xml:space="preserve"> </w:t>
      </w:r>
      <w:r>
        <w:t xml:space="preserve">“Redfish_exporter: A</w:t>
      </w:r>
      <w:r>
        <w:t xml:space="preserve"> </w:t>
      </w:r>
      <w:r>
        <w:t xml:space="preserve">Prometheus</w:t>
      </w:r>
      <w:r>
        <w:t xml:space="preserve"> </w:t>
      </w:r>
      <w:r>
        <w:t xml:space="preserve">exporter for</w:t>
      </w:r>
      <w:r>
        <w:t xml:space="preserve"> </w:t>
      </w:r>
      <w:r>
        <w:t xml:space="preserve">Redfish</w:t>
      </w:r>
      <w:r>
        <w:t xml:space="preserve">-based hardware.”</w:t>
      </w:r>
      <w:r>
        <w:t xml:space="preserve"> </w:t>
      </w:r>
      <w:r>
        <w:t xml:space="preserve">GitHub repository, 2019. Accessed: Sep. 19, 2026. [Online]. Available:</w:t>
      </w:r>
      <w:r>
        <w:t xml:space="preserve"> </w:t>
      </w:r>
      <w:hyperlink r:id="rId178">
        <w:r>
          <w:rPr>
            <w:rStyle w:val="Hyperlink"/>
          </w:rPr>
          <w:t xml:space="preserve">https://github.com/jenningsloy318/redfish_exporter</w:t>
        </w:r>
      </w:hyperlink>
    </w:p>
    <w:bookmarkEnd w:id="179"/>
    <w:bookmarkStart w:id="181" w:name="ref-openbmc_bmcweb"/>
    <w:p>
      <w:pPr>
        <w:pStyle w:val="Bibliography"/>
      </w:pPr>
      <w:r>
        <w:t xml:space="preserve">[44]</w:t>
      </w:r>
      <w:r>
        <w:t xml:space="preserve"> </w:t>
      </w:r>
      <w:r>
        <w:t xml:space="preserve">	</w:t>
      </w:r>
      <w:r>
        <w:t xml:space="preserve">OpenBMC Project,</w:t>
      </w:r>
      <w:r>
        <w:t xml:space="preserve"> </w:t>
      </w:r>
      <w:r>
        <w:t xml:space="preserve">“Bmcweb:</w:t>
      </w:r>
      <w:r>
        <w:t xml:space="preserve"> </w:t>
      </w:r>
      <w:r>
        <w:t xml:space="preserve">OpenBMC</w:t>
      </w:r>
      <w:r>
        <w:t xml:space="preserve"> </w:t>
      </w:r>
      <w:r>
        <w:t xml:space="preserve">webserver (</w:t>
      </w:r>
      <w:r>
        <w:t xml:space="preserve">Redfish</w:t>
      </w:r>
      <w:r>
        <w:t xml:space="preserve">,</w:t>
      </w:r>
      <w:r>
        <w:t xml:space="preserve"> </w:t>
      </w:r>
      <w:r>
        <w:t xml:space="preserve">KVM</w:t>
      </w:r>
      <w:r>
        <w:t xml:space="preserve">,</w:t>
      </w:r>
      <w:r>
        <w:t xml:space="preserve"> </w:t>
      </w:r>
      <w:r>
        <w:t xml:space="preserve">GUI</w:t>
      </w:r>
      <w:r>
        <w:t xml:space="preserve"> </w:t>
      </w:r>
      <w:r>
        <w:t xml:space="preserve">and</w:t>
      </w:r>
      <w:r>
        <w:t xml:space="preserve"> </w:t>
      </w:r>
      <w:r>
        <w:t xml:space="preserve">D-Bus</w:t>
      </w:r>
      <w:r>
        <w:t xml:space="preserve">).”</w:t>
      </w:r>
      <w:r>
        <w:t xml:space="preserve"> </w:t>
      </w:r>
      <w:r>
        <w:t xml:space="preserve">GitHub repository, 2018. Accessed: Sep. 19, 2026. [Online]. Available:</w:t>
      </w:r>
      <w:r>
        <w:t xml:space="preserve"> </w:t>
      </w:r>
      <w:hyperlink r:id="rId180">
        <w:r>
          <w:rPr>
            <w:rStyle w:val="Hyperlink"/>
          </w:rPr>
          <w:t xml:space="preserve">https://github.com/openbmc/bmcweb</w:t>
        </w:r>
      </w:hyperlink>
    </w:p>
    <w:bookmarkEnd w:id="181"/>
    <w:bookmarkStart w:id="183" w:name="ref-rfc6901"/>
    <w:p>
      <w:pPr>
        <w:pStyle w:val="Bibliography"/>
      </w:pPr>
      <w:r>
        <w:t xml:space="preserve">[45]</w:t>
      </w:r>
      <w:r>
        <w:t xml:space="preserve"> </w:t>
      </w:r>
      <w:r>
        <w:t xml:space="preserve">	</w:t>
      </w:r>
      <w:r>
        <w:t xml:space="preserve">P. Bryan, K. Zyp, and M. Nottingham,</w:t>
      </w:r>
      <w:r>
        <w:t xml:space="preserve"> </w:t>
      </w:r>
      <w:r>
        <w:t xml:space="preserve">“</w:t>
      </w:r>
      <w:r>
        <w:t xml:space="preserve">JavaScript Object Notation (JSON)</w:t>
      </w:r>
      <w:r>
        <w:t xml:space="preserve"> </w:t>
      </w:r>
      <w:r>
        <w:t xml:space="preserve">pointer,”</w:t>
      </w:r>
      <w:r>
        <w:t xml:space="preserve"> </w:t>
      </w:r>
      <w:r>
        <w:t xml:space="preserve">Internet Engineering Task Force, RFC 6901, Apr. 2013. doi:</w:t>
      </w:r>
      <w:r>
        <w:t xml:space="preserve"> </w:t>
      </w:r>
      <w:hyperlink r:id="rId182">
        <w:r>
          <w:rPr>
            <w:rStyle w:val="Hyperlink"/>
          </w:rPr>
          <w:t xml:space="preserve">10.17487/RFC6901</w:t>
        </w:r>
      </w:hyperlink>
      <w:r>
        <w:t xml:space="preserve">.</w:t>
      </w:r>
    </w:p>
    <w:bookmarkEnd w:id="183"/>
    <w:bookmarkStart w:id="185" w:name="ref-rfc3986"/>
    <w:p>
      <w:pPr>
        <w:pStyle w:val="Bibliography"/>
      </w:pPr>
      <w:r>
        <w:t xml:space="preserve">[46]</w:t>
      </w:r>
      <w:r>
        <w:t xml:space="preserve"> </w:t>
      </w:r>
      <w:r>
        <w:t xml:space="preserve">	</w:t>
      </w:r>
      <w:r>
        <w:t xml:space="preserve">T. Berners-Lee, R. Fielding, and L. Masinter,</w:t>
      </w:r>
      <w:r>
        <w:t xml:space="preserve"> </w:t>
      </w:r>
      <w:r>
        <w:t xml:space="preserve">“Uniform resource identifier (</w:t>
      </w:r>
      <w:r>
        <w:t xml:space="preserve">URI</w:t>
      </w:r>
      <w:r>
        <w:t xml:space="preserve">): Generic syntax,”</w:t>
      </w:r>
      <w:r>
        <w:t xml:space="preserve"> </w:t>
      </w:r>
      <w:r>
        <w:t xml:space="preserve">Internet Engineering Task Force, RFC 3986, Jan. 2005. doi:</w:t>
      </w:r>
      <w:r>
        <w:t xml:space="preserve"> </w:t>
      </w:r>
      <w:hyperlink r:id="rId184">
        <w:r>
          <w:rPr>
            <w:rStyle w:val="Hyperlink"/>
          </w:rPr>
          <w:t xml:space="preserve">10.17487/RFC3986</w:t>
        </w:r>
      </w:hyperlink>
      <w:r>
        <w:t xml:space="preserve">.</w:t>
      </w:r>
    </w:p>
    <w:bookmarkEnd w:id="185"/>
    <w:bookmarkStart w:id="187" w:name="ref-cho1998efficient"/>
    <w:p>
      <w:pPr>
        <w:pStyle w:val="Bibliography"/>
      </w:pPr>
      <w:r>
        <w:t xml:space="preserve">[47]</w:t>
      </w:r>
      <w:r>
        <w:t xml:space="preserve"> </w:t>
      </w:r>
      <w:r>
        <w:t xml:space="preserve">	</w:t>
      </w:r>
      <w:r>
        <w:t xml:space="preserve">J. Cho, H. Garcia-Molina, and L. Page,</w:t>
      </w:r>
      <w:r>
        <w:t xml:space="preserve"> </w:t>
      </w:r>
      <w:r>
        <w:t xml:space="preserve">“Efficient crawling through</w:t>
      </w:r>
      <w:r>
        <w:t xml:space="preserve"> </w:t>
      </w:r>
      <w:r>
        <w:t xml:space="preserve">URL</w:t>
      </w:r>
      <w:r>
        <w:t xml:space="preserve"> </w:t>
      </w:r>
      <w:r>
        <w:t xml:space="preserve">ordering,”</w:t>
      </w:r>
      <w:r>
        <w:t xml:space="preserve"> </w:t>
      </w:r>
      <w:r>
        <w:rPr>
          <w:iCs/>
          <w:i/>
        </w:rPr>
        <w:t xml:space="preserve">Computer Networks and ISDN Systems</w:t>
      </w:r>
      <w:r>
        <w:t xml:space="preserve">, vol. 30, no. 1–7, pp. 161–172, 1998, doi:</w:t>
      </w:r>
      <w:r>
        <w:t xml:space="preserve"> </w:t>
      </w:r>
      <w:hyperlink r:id="rId186">
        <w:r>
          <w:rPr>
            <w:rStyle w:val="Hyperlink"/>
          </w:rPr>
          <w:t xml:space="preserve">10.1016/S0169-7552(98)00108-1</w:t>
        </w:r>
      </w:hyperlink>
      <w:r>
        <w:t xml:space="preserve">.</w:t>
      </w:r>
    </w:p>
    <w:bookmarkEnd w:id="187"/>
    <w:bookmarkStart w:id="188" w:name="ref-cho2000evolution"/>
    <w:p>
      <w:pPr>
        <w:pStyle w:val="Bibliography"/>
      </w:pPr>
      <w:r>
        <w:t xml:space="preserve">[48]</w:t>
      </w:r>
      <w:r>
        <w:t xml:space="preserve"> </w:t>
      </w:r>
      <w:r>
        <w:t xml:space="preserve">	</w:t>
      </w:r>
      <w:r>
        <w:t xml:space="preserve">J. Cho and H. Garcia-Molina,</w:t>
      </w:r>
      <w:r>
        <w:t xml:space="preserve"> </w:t>
      </w:r>
      <w:r>
        <w:t xml:space="preserve">“The evolution of the web and implications for an incremental crawler,”</w:t>
      </w:r>
      <w:r>
        <w:t xml:space="preserve"> </w:t>
      </w:r>
      <w:r>
        <w:t xml:space="preserve">in</w:t>
      </w:r>
      <w:r>
        <w:t xml:space="preserve"> </w:t>
      </w:r>
      <w:r>
        <w:rPr>
          <w:iCs/>
          <w:i/>
        </w:rPr>
        <w:t xml:space="preserve">Proceedings of the 26th international conference on very large data bases (VLDB 2000)</w:t>
      </w:r>
      <w:r>
        <w:t xml:space="preserve">, Cairo, Egypt: Morgan Kaufmann, 2000, pp. 200–209.</w:t>
      </w:r>
    </w:p>
    <w:bookmarkEnd w:id="188"/>
    <w:bookmarkStart w:id="190" w:name="ref-li2013evolution"/>
    <w:p>
      <w:pPr>
        <w:pStyle w:val="Bibliography"/>
      </w:pPr>
      <w:r>
        <w:t xml:space="preserve">[49]</w:t>
      </w:r>
      <w:r>
        <w:t xml:space="preserve"> </w:t>
      </w:r>
      <w:r>
        <w:t xml:space="preserve">	</w:t>
      </w:r>
      <w:r>
        <w:t xml:space="preserve">J. Li, Y. Xiong, X. Liu, and L. Zhang,</w:t>
      </w:r>
      <w:r>
        <w:t xml:space="preserve"> </w:t>
      </w:r>
      <w:r>
        <w:t xml:space="preserve">“How does web service</w:t>
      </w:r>
      <w:r>
        <w:t xml:space="preserve"> </w:t>
      </w:r>
      <w:r>
        <w:t xml:space="preserve">API</w:t>
      </w:r>
      <w:r>
        <w:t xml:space="preserve"> </w:t>
      </w:r>
      <w:r>
        <w:t xml:space="preserve">evolution affect clients?”</w:t>
      </w:r>
      <w:r>
        <w:t xml:space="preserve"> </w:t>
      </w:r>
      <w:r>
        <w:t xml:space="preserve">in</w:t>
      </w:r>
      <w:r>
        <w:t xml:space="preserve"> </w:t>
      </w:r>
      <w:r>
        <w:rPr>
          <w:iCs/>
          <w:i/>
        </w:rPr>
        <w:t xml:space="preserve">2013 IEEE 20th international conference on web services (ICWS)</w:t>
      </w:r>
      <w:r>
        <w:t xml:space="preserve">, Santa Clara, CA, USA: IEEE, 2013, pp. 300–307. doi:</w:t>
      </w:r>
      <w:r>
        <w:t xml:space="preserve"> </w:t>
      </w:r>
      <w:hyperlink r:id="rId189">
        <w:r>
          <w:rPr>
            <w:rStyle w:val="Hyperlink"/>
          </w:rPr>
          <w:t xml:space="preserve">10.1109/ICWS.2013.48</w:t>
        </w:r>
      </w:hyperlink>
      <w:r>
        <w:t xml:space="preserve">.</w:t>
      </w:r>
    </w:p>
    <w:bookmarkEnd w:id="190"/>
    <w:bookmarkStart w:id="192" w:name="ref-espinha2014growing"/>
    <w:p>
      <w:pPr>
        <w:pStyle w:val="Bibliography"/>
      </w:pPr>
      <w:r>
        <w:t xml:space="preserve">[50]</w:t>
      </w:r>
      <w:r>
        <w:t xml:space="preserve"> </w:t>
      </w:r>
      <w:r>
        <w:t xml:space="preserve">	</w:t>
      </w:r>
      <w:r>
        <w:t xml:space="preserve">T. Espinha, A. Zaidman, and H.-G. Gross,</w:t>
      </w:r>
      <w:r>
        <w:t xml:space="preserve"> </w:t>
      </w:r>
      <w:r>
        <w:t xml:space="preserve">“Web</w:t>
      </w:r>
      <w:r>
        <w:t xml:space="preserve"> </w:t>
      </w:r>
      <w:r>
        <w:t xml:space="preserve">API</w:t>
      </w:r>
      <w:r>
        <w:t xml:space="preserve"> </w:t>
      </w:r>
      <w:r>
        <w:t xml:space="preserve">growing pains: Stories from client developers and their code,”</w:t>
      </w:r>
      <w:r>
        <w:t xml:space="preserve"> </w:t>
      </w:r>
      <w:r>
        <w:t xml:space="preserve">in</w:t>
      </w:r>
      <w:r>
        <w:t xml:space="preserve"> </w:t>
      </w:r>
      <w:r>
        <w:rPr>
          <w:iCs/>
          <w:i/>
        </w:rPr>
        <w:t xml:space="preserve">2014 software evolution week – IEEE conference on software maintenance, reengineering, and reverse engineering (CSMR-WCRE)</w:t>
      </w:r>
      <w:r>
        <w:t xml:space="preserve">, IEEE, 2014, pp. 84–93. doi:</w:t>
      </w:r>
      <w:r>
        <w:t xml:space="preserve"> </w:t>
      </w:r>
      <w:hyperlink r:id="rId191">
        <w:r>
          <w:rPr>
            <w:rStyle w:val="Hyperlink"/>
          </w:rPr>
          <w:t xml:space="preserve">10.1109/CSMR-WCRE.2014.6747228</w:t>
        </w:r>
      </w:hyperlink>
      <w:r>
        <w:t xml:space="preserve">.</w:t>
      </w:r>
    </w:p>
    <w:bookmarkEnd w:id="192"/>
    <w:bookmarkStart w:id="194" w:name="ref-espinha2015growing"/>
    <w:p>
      <w:pPr>
        <w:pStyle w:val="Bibliography"/>
      </w:pPr>
      <w:r>
        <w:t xml:space="preserve">[51]</w:t>
      </w:r>
      <w:r>
        <w:t xml:space="preserve"> </w:t>
      </w:r>
      <w:r>
        <w:t xml:space="preserve">	</w:t>
      </w:r>
      <w:r>
        <w:t xml:space="preserve">T. Espinha, A. Zaidman, and H.-G. Gross,</w:t>
      </w:r>
      <w:r>
        <w:t xml:space="preserve"> </w:t>
      </w:r>
      <w:r>
        <w:t xml:space="preserve">“Web</w:t>
      </w:r>
      <w:r>
        <w:t xml:space="preserve"> </w:t>
      </w:r>
      <w:r>
        <w:t xml:space="preserve">API</w:t>
      </w:r>
      <w:r>
        <w:t xml:space="preserve"> </w:t>
      </w:r>
      <w:r>
        <w:t xml:space="preserve">growing pains: Loosely coupled yet strongly tied,”</w:t>
      </w:r>
      <w:r>
        <w:t xml:space="preserve"> </w:t>
      </w:r>
      <w:r>
        <w:rPr>
          <w:iCs/>
          <w:i/>
        </w:rPr>
        <w:t xml:space="preserve">Journal of Systems and Software</w:t>
      </w:r>
      <w:r>
        <w:t xml:space="preserve">, vol. 100, pp. 27–43, 2015, doi:</w:t>
      </w:r>
      <w:r>
        <w:t xml:space="preserve"> </w:t>
      </w:r>
      <w:hyperlink r:id="rId193">
        <w:r>
          <w:rPr>
            <w:rStyle w:val="Hyperlink"/>
          </w:rPr>
          <w:t xml:space="preserve">10.1016/j.jss.2014.10.014</w:t>
        </w:r>
      </w:hyperlink>
      <w:r>
        <w:t xml:space="preserve">.</w:t>
      </w:r>
    </w:p>
    <w:bookmarkEnd w:id="194"/>
    <w:bookmarkStart w:id="196" w:name="ref-sohan2015evolution"/>
    <w:p>
      <w:pPr>
        <w:pStyle w:val="Bibliography"/>
      </w:pPr>
      <w:r>
        <w:t xml:space="preserve">[52]</w:t>
      </w:r>
      <w:r>
        <w:t xml:space="preserve"> </w:t>
      </w:r>
      <w:r>
        <w:t xml:space="preserve">	</w:t>
      </w:r>
      <w:r>
        <w:t xml:space="preserve">S. M. Sohan, C. Anslow, and F. Maurer,</w:t>
      </w:r>
      <w:r>
        <w:t xml:space="preserve"> </w:t>
      </w:r>
      <w:r>
        <w:t xml:space="preserve">“A case study of web</w:t>
      </w:r>
      <w:r>
        <w:t xml:space="preserve"> </w:t>
      </w:r>
      <w:r>
        <w:t xml:space="preserve">API</w:t>
      </w:r>
      <w:r>
        <w:t xml:space="preserve"> </w:t>
      </w:r>
      <w:r>
        <w:t xml:space="preserve">evolution,”</w:t>
      </w:r>
      <w:r>
        <w:t xml:space="preserve"> </w:t>
      </w:r>
      <w:r>
        <w:t xml:space="preserve">in</w:t>
      </w:r>
      <w:r>
        <w:t xml:space="preserve"> </w:t>
      </w:r>
      <w:r>
        <w:rPr>
          <w:iCs/>
          <w:i/>
        </w:rPr>
        <w:t xml:space="preserve">2015 IEEE world congress on services</w:t>
      </w:r>
      <w:r>
        <w:t xml:space="preserve">, New York, NY, USA: IEEE, 2015, pp. 245–252. doi:</w:t>
      </w:r>
      <w:r>
        <w:t xml:space="preserve"> </w:t>
      </w:r>
      <w:hyperlink r:id="rId195">
        <w:r>
          <w:rPr>
            <w:rStyle w:val="Hyperlink"/>
          </w:rPr>
          <w:t xml:space="preserve">10.1109/SERVICES.2015.43</w:t>
        </w:r>
      </w:hyperlink>
      <w:r>
        <w:t xml:space="preserve">.</w:t>
      </w:r>
    </w:p>
    <w:bookmarkEnd w:id="196"/>
    <w:bookmarkEnd w:id="197"/>
    <w:bookmarkEnd w:id="198"/>
    <w:sectPr>
      <w:footerReference w:type="default" r:id="rIdFooter1"/>
      <w:pgSz w:w="11906" w:h="16838"/>
      <w:pgMar w:top="1587" w:right="1474" w:bottom="1587" w:left="1814" w:header="720" w:footer="72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w:p>
    <w:pPr>
      <w:jc w:val="cen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00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w="http://schemas.openxmlformats.org/wordprocessingml/2006/main" xmlns:m="http://schemas.openxmlformats.org/officeDocument/2006/math">
  <w:zoom w:percent="100"/>
  <w:defaultTabStop w:val="720"/>
  <w:characterSpacingControl w:val="doNotCompress"/>
  <w:updateFields w:val="true"/>
  <w:footnotePr>
    <w:footnote w:id="-1"/>
    <w:footnote w:id="0"/>
  </w:footnotePr>
  <w:compat>
    <w:compatSetting w:name="compatibilityMode" w:uri="http://schemas.microsoft.com/office/word" w:val="15"/>
  </w:compat>
  <m:mathPr>
    <m:mathFont m:val="Cambria Math"/>
    <m:dispDef/>
  </m:mathPr>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20" w:before="0" w:line="360" w:lineRule="auto"/>
      <w:jc w:val="both"/>
    </w:pPr>
  </w:style>
  <w:style w:customStyle="1" w:styleId="FirstParagraph" w:type="paragraph">
    <w:name w:val="First Paragraph"/>
    <w:basedOn w:val="BodyText"/>
    <w:next w:val="BodyText"/>
    <w:qFormat/>
    <w:pPr>
      <w:spacing w:after="120" w:before="0" w:line="360" w:lineRule="auto"/>
      <w:jc w:val="both"/>
    </w:pPr>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imes New Roman" w:cs="Times New Roman" w:eastAsia="Times New Roman" w:hAnsi="Times New Roman"/>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pageBreakBefore/>
      <w:spacing w:after="0" w:before="480"/>
      <w:outlineLvl w:val="0"/>
    </w:pPr>
    <w:rPr>
      <w:rFonts w:ascii="Times New Roman" w:cs="Times New Roman" w:eastAsia="Times New Roman" w:hAnsi="Times New Roman"/>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cs="Times New Roman" w:eastAsia="Times New Roman" w:hAnsi="Times New Roman"/>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cs="Times New Roman" w:eastAsia="Times New Roman" w:hAnsi="Times New Roman"/>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jc w:val="center"/>
    </w:pPr>
  </w:style>
  <w:style w:customStyle="1" w:styleId="ImageCaption" w:type="paragraph">
    <w:name w:val="Image Caption"/>
    <w:basedOn w:val="Caption"/>
    <w:pPr>
      <w:jc w:val="center"/>
    </w:pPr>
  </w:style>
  <w:style w:customStyle="1" w:styleId="Figure" w:type="paragraph">
    <w:name w:val="Figure"/>
    <w:basedOn w:val="Normal"/>
    <w:pPr>
      <w:jc w:val="center"/>
    </w:pPr>
  </w:style>
  <w:style w:customStyle="1" w:styleId="CaptionedFigure" w:type="paragraph">
    <w:name w:val="Captioned Figure"/>
    <w:basedOn w:val="Figure"/>
    <w:pPr>
      <w:keepNext/>
      <w:jc w:val="center"/>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Times New Roman" w:cs="Times New Roman" w:eastAsia="Times New Roman" w:hAnsi="Times New Roman"/>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TableSmall">
    <w:name w:val="TableSmall"/>
    <w:basedOn w:val="Compact"/>
    <w:pPr>
      <w:spacing w:before="20" w:after="20" w:line="240" w:lineRule="auto"/>
      <w:jc w:val="left"/>
    </w:pPr>
    <w:rPr>
      <w:sz w:val="16"/>
      <w:szCs w:val="16"/>
    </w:rPr>
  </w:style>
  <w:style w:type="paragraph" w:customStyle="1" w:styleId="TableText">
    <w:name w:val="TableText"/>
    <w:basedOn w:val="Compact"/>
    <w:pPr>
      <w:spacing w:before="20" w:after="20" w:line="240" w:lineRule="auto"/>
      <w:jc w:val="left"/>
    </w:pPr>
    <w:rPr>
      <w:sz w:val="20"/>
      <w:szCs w:val="20"/>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9" Target="media/rId49.png" /><Relationship Type="http://schemas.openxmlformats.org/officeDocument/2006/relationships/image" Id="rId51" Target="media/rId51.png" /><Relationship Type="http://schemas.openxmlformats.org/officeDocument/2006/relationships/image" Id="rId56" Target="media/rId56.png" /><Relationship Type="http://schemas.openxmlformats.org/officeDocument/2006/relationships/image" Id="rId76" Target="media/rId76.png" /><Relationship Type="http://schemas.openxmlformats.org/officeDocument/2006/relationships/image" Id="rId59" Target="media/rId59.png" /><Relationship Type="http://schemas.openxmlformats.org/officeDocument/2006/relationships/image" Id="rId44" Target="media/rId44.png" /><Relationship Type="http://schemas.openxmlformats.org/officeDocument/2006/relationships/image" Id="rId47" Target="media/rId47.png" /><Relationship Type="http://schemas.openxmlformats.org/officeDocument/2006/relationships/image" Id="rId79" Target="media/rId79.png" /><Relationship Type="http://schemas.openxmlformats.org/officeDocument/2006/relationships/image" Id="rId70" Target="media/rId70.png" /><Relationship Type="http://schemas.openxmlformats.org/officeDocument/2006/relationships/image" Id="rId72" Target="media/rId72.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7" Target="media/rId77.png" /><Relationship Type="http://schemas.openxmlformats.org/officeDocument/2006/relationships/image" Id="rId81" Target="media/rId81.png" /><Relationship Type="http://schemas.openxmlformats.org/officeDocument/2006/relationships/hyperlink" Id="rId140" Target="https://datatracker.ietf.org/doc/html/draft-bhutton-json-schema-01" TargetMode="External" /><Relationship Type="http://schemas.openxmlformats.org/officeDocument/2006/relationships/hyperlink" Id="rId134" Target="https://docs.oasis-open.org/odata/odata-json-format/v4.01/os/odata-json-format-v4.01-os.html" TargetMode="External" /><Relationship Type="http://schemas.openxmlformats.org/officeDocument/2006/relationships/hyperlink" Id="rId132" Target="https://docs.oasis-open.org/odata/odata/v4.01/os/part1-protocol/odata-v4.01-os-part1-protocol.html" TargetMode="External" /><Relationship Type="http://schemas.openxmlformats.org/officeDocument/2006/relationships/hyperlink" Id="rId186" Target="https://doi.org/10.1016/S0169-7552(98)00108-1" TargetMode="External" /><Relationship Type="http://schemas.openxmlformats.org/officeDocument/2006/relationships/hyperlink" Id="rId193" Target="https://doi.org/10.1016/j.jss.2014.10.014" TargetMode="External" /><Relationship Type="http://schemas.openxmlformats.org/officeDocument/2006/relationships/hyperlink" Id="rId172" Target="https://doi.org/10.1109/ACCESS.2026.3674966" TargetMode="External" /><Relationship Type="http://schemas.openxmlformats.org/officeDocument/2006/relationships/hyperlink" Id="rId102" Target="https://doi.org/10.1109/CLUSTER49012.2020.00022" TargetMode="External" /><Relationship Type="http://schemas.openxmlformats.org/officeDocument/2006/relationships/hyperlink" Id="rId191" Target="https://doi.org/10.1109/CSMR-WCRE.2014.6747228" TargetMode="External" /><Relationship Type="http://schemas.openxmlformats.org/officeDocument/2006/relationships/hyperlink" Id="rId160" Target="https://doi.org/10.1109/GreenTech46478.2020.9289729" TargetMode="External" /><Relationship Type="http://schemas.openxmlformats.org/officeDocument/2006/relationships/hyperlink" Id="rId189" Target="https://doi.org/10.1109/ICWS.2013.48" TargetMode="External" /><Relationship Type="http://schemas.openxmlformats.org/officeDocument/2006/relationships/hyperlink" Id="rId156" Target="https://doi.org/10.1109/MCOMSTD.2019.1800045" TargetMode="External" /><Relationship Type="http://schemas.openxmlformats.org/officeDocument/2006/relationships/hyperlink" Id="rId166" Target="https://doi.org/10.1109/SC.2014.18" TargetMode="External" /><Relationship Type="http://schemas.openxmlformats.org/officeDocument/2006/relationships/hyperlink" Id="rId195" Target="https://doi.org/10.1109/SERVICES.2015.43" TargetMode="External" /><Relationship Type="http://schemas.openxmlformats.org/officeDocument/2006/relationships/hyperlink" Id="rId158" Target="https://doi.org/10.1145/3147213.3149212" TargetMode="External" /><Relationship Type="http://schemas.openxmlformats.org/officeDocument/2006/relationships/hyperlink" Id="rId104" Target="https://doi.org/10.1145/3526064.3534108" TargetMode="External" /><Relationship Type="http://schemas.openxmlformats.org/officeDocument/2006/relationships/hyperlink" Id="rId154" Target="https://doi.org/10.1145/371920.371965" TargetMode="External" /><Relationship Type="http://schemas.openxmlformats.org/officeDocument/2006/relationships/hyperlink" Id="rId114" Target="https://doi.org/10.17487/RFC1157" TargetMode="External" /><Relationship Type="http://schemas.openxmlformats.org/officeDocument/2006/relationships/hyperlink" Id="rId116" Target="https://doi.org/10.17487/RFC3411" TargetMode="External" /><Relationship Type="http://schemas.openxmlformats.org/officeDocument/2006/relationships/hyperlink" Id="rId184" Target="https://doi.org/10.17487/RFC3986" TargetMode="External" /><Relationship Type="http://schemas.openxmlformats.org/officeDocument/2006/relationships/hyperlink" Id="rId182" Target="https://doi.org/10.17487/RFC6901" TargetMode="External" /><Relationship Type="http://schemas.openxmlformats.org/officeDocument/2006/relationships/hyperlink" Id="rId124" Target="https://doi.org/10.17487/RFC8259" TargetMode="External" /><Relationship Type="http://schemas.openxmlformats.org/officeDocument/2006/relationships/hyperlink" Id="rId164" Target="https://doi.org/10.21203/rs.3.rs-2749012/v1" TargetMode="External" /><Relationship Type="http://schemas.openxmlformats.org/officeDocument/2006/relationships/hyperlink" Id="rId106" Target="https://doi.org/10.3390/electronics13234624" TargetMode="External" /><Relationship Type="http://schemas.openxmlformats.org/officeDocument/2006/relationships/hyperlink" Id="rId170" Target="https://doi.org/10.46586/tches.v2023.i2.1-23" TargetMode="External" /><Relationship Type="http://schemas.openxmlformats.org/officeDocument/2006/relationships/hyperlink" Id="rId168" Target="https://doi.org/10.48550/arXiv.1806.02698" TargetMode="External" /><Relationship Type="http://schemas.openxmlformats.org/officeDocument/2006/relationships/hyperlink" Id="rId146" Target="https://github.com/DMTF/Redfish-Mockup-Creator" TargetMode="External" /><Relationship Type="http://schemas.openxmlformats.org/officeDocument/2006/relationships/hyperlink" Id="rId144" Target="https://github.com/DMTF/Redfish-Mockup-Server" TargetMode="External" /><Relationship Type="http://schemas.openxmlformats.org/officeDocument/2006/relationships/hyperlink" Id="rId150" Target="https://github.com/DMTF/Redfish-Service-Validator" TargetMode="External" /><Relationship Type="http://schemas.openxmlformats.org/officeDocument/2006/relationships/hyperlink" Id="rId174" Target="https://github.com/DMTF/python-redfish-library" TargetMode="External" /><Relationship Type="http://schemas.openxmlformats.org/officeDocument/2006/relationships/hyperlink" Id="rId178" Target="https://github.com/jenningsloy318/redfish_exporter" TargetMode="External" /><Relationship Type="http://schemas.openxmlformats.org/officeDocument/2006/relationships/hyperlink" Id="rId162" Target="https://github.com/nsfcac/MonSter" TargetMode="External" /><Relationship Type="http://schemas.openxmlformats.org/officeDocument/2006/relationships/hyperlink" Id="rId180" Target="https://github.com/openbmc/bmcweb" TargetMode="External" /><Relationship Type="http://schemas.openxmlformats.org/officeDocument/2006/relationships/hyperlink" Id="rId110" Target="https://github.com/openbmc/openbmc" TargetMode="External" /><Relationship Type="http://schemas.openxmlformats.org/officeDocument/2006/relationships/hyperlink" Id="rId108" Target="https://ics.uci.edu/~fielding/pubs/dissertation/top.htm" TargetMode="External" /><Relationship Type="http://schemas.openxmlformats.org/officeDocument/2006/relationships/hyperlink" Id="rId176" Target="https://opendev.org/openstack/sushy" TargetMode="External" /><Relationship Type="http://schemas.openxmlformats.org/officeDocument/2006/relationships/hyperlink" Id="rId142" Target="https://spec.openapis.org/oas/v3.1.1.html" TargetMode="External" /><Relationship Type="http://schemas.openxmlformats.org/officeDocument/2006/relationships/hyperlink" Id="rId128" Target="https://www.dmtf.org/sites/default/files/standards/documents/DSP0218_1.2.0.pdf" TargetMode="External" /><Relationship Type="http://schemas.openxmlformats.org/officeDocument/2006/relationships/hyperlink" Id="rId98" Target="https://www.dmtf.org/sites/default/files/standards/documents/DSP0266_1.25.0.pdf" TargetMode="External" /><Relationship Type="http://schemas.openxmlformats.org/officeDocument/2006/relationships/hyperlink" Id="rId100" Target="https://www.dmtf.org/sites/default/files/standards/documents/DSP0268_2026.2.pdf" TargetMode="External" /><Relationship Type="http://schemas.openxmlformats.org/officeDocument/2006/relationships/hyperlink" Id="rId126" Target="https://www.dmtf.org/sites/default/files/standards/documents/DSP0270_1.3.1.pdf" TargetMode="External" /><Relationship Type="http://schemas.openxmlformats.org/officeDocument/2006/relationships/hyperlink" Id="rId148" Target="https://www.dmtf.org/sites/default/files/standards/documents/DSP0272_1.10.0.pdf" TargetMode="External" /><Relationship Type="http://schemas.openxmlformats.org/officeDocument/2006/relationships/hyperlink" Id="rId118" Target="https://www.dmtf.org/sites/default/files/standards/documents/DSP2044_1.0.0.pdf" TargetMode="External" /><Relationship Type="http://schemas.openxmlformats.org/officeDocument/2006/relationships/hyperlink" Id="rId120" Target="https://www.dmtf.org/sites/default/files/standards/documents/DSP2046_2026.2.pdf" TargetMode="External" /><Relationship Type="http://schemas.openxmlformats.org/officeDocument/2006/relationships/hyperlink" Id="rId136" Target="https://www.dmtf.org/sites/default/files/standards/documents/DSP2052_1.0.0.pdf" TargetMode="External" /><Relationship Type="http://schemas.openxmlformats.org/officeDocument/2006/relationships/hyperlink" Id="rId130" Target="https://www.dmtf.org/sites/default/files/standards/documents/DSP2060_1.1.0.pdf" TargetMode="External" /><Relationship Type="http://schemas.openxmlformats.org/officeDocument/2006/relationships/hyperlink" Id="rId138" Target="https://www.dmtf.org/standards/redfish" TargetMode="External" /><Relationship Type="http://schemas.openxmlformats.org/officeDocument/2006/relationships/hyperlink" Id="rId96" Target="https://www.intel.com/content/dam/www/public/us/en/documents/product-briefs/ipmi-second-gen-interface-spec-v2-rev1-1.pdf" TargetMode="External" /><Relationship Type="http://schemas.openxmlformats.org/officeDocument/2006/relationships/hyperlink" Id="rId122" Target="https://www.snia.org/sites/default/files/technical-work/swordfish/release/v1.2.8/pdf/Swordfish_v1.2.8_Specification.pdf" TargetMode="External" /><Relationship Type="http://schemas.openxmlformats.org/officeDocument/2006/relationships/hyperlink" Id="rId112" Target="https://www.usenix.org/conference/woot13/workshop-program/presentation/bonkoski" TargetMode="External" /><Relationship Id="rIdFooter1" Type="http://schemas.openxmlformats.org/officeDocument/2006/relationships/footer" Target="footer1.xml"/></Relationships>
</file>

<file path=word/_rels/footnotes.xml.rels><?xml version="1.0" encoding="UTF-8"?><Relationships xmlns="http://schemas.openxmlformats.org/package/2006/relationships"><Relationship Type="http://schemas.openxmlformats.org/officeDocument/2006/relationships/hyperlink" Id="rId140" Target="https://datatracker.ietf.org/doc/html/draft-bhutton-json-schema-01" TargetMode="External" /><Relationship Type="http://schemas.openxmlformats.org/officeDocument/2006/relationships/hyperlink" Id="rId134" Target="https://docs.oasis-open.org/odata/odata-json-format/v4.01/os/odata-json-format-v4.01-os.html" TargetMode="External" /><Relationship Type="http://schemas.openxmlformats.org/officeDocument/2006/relationships/hyperlink" Id="rId132" Target="https://docs.oasis-open.org/odata/odata/v4.01/os/part1-protocol/odata-v4.01-os-part1-protocol.html" TargetMode="External" /><Relationship Type="http://schemas.openxmlformats.org/officeDocument/2006/relationships/hyperlink" Id="rId186" Target="https://doi.org/10.1016/S0169-7552(98)00108-1" TargetMode="External" /><Relationship Type="http://schemas.openxmlformats.org/officeDocument/2006/relationships/hyperlink" Id="rId193" Target="https://doi.org/10.1016/j.jss.2014.10.014" TargetMode="External" /><Relationship Type="http://schemas.openxmlformats.org/officeDocument/2006/relationships/hyperlink" Id="rId172" Target="https://doi.org/10.1109/ACCESS.2026.3674966" TargetMode="External" /><Relationship Type="http://schemas.openxmlformats.org/officeDocument/2006/relationships/hyperlink" Id="rId102" Target="https://doi.org/10.1109/CLUSTER49012.2020.00022" TargetMode="External" /><Relationship Type="http://schemas.openxmlformats.org/officeDocument/2006/relationships/hyperlink" Id="rId191" Target="https://doi.org/10.1109/CSMR-WCRE.2014.6747228" TargetMode="External" /><Relationship Type="http://schemas.openxmlformats.org/officeDocument/2006/relationships/hyperlink" Id="rId160" Target="https://doi.org/10.1109/GreenTech46478.2020.9289729" TargetMode="External" /><Relationship Type="http://schemas.openxmlformats.org/officeDocument/2006/relationships/hyperlink" Id="rId189" Target="https://doi.org/10.1109/ICWS.2013.48" TargetMode="External" /><Relationship Type="http://schemas.openxmlformats.org/officeDocument/2006/relationships/hyperlink" Id="rId156" Target="https://doi.org/10.1109/MCOMSTD.2019.1800045" TargetMode="External" /><Relationship Type="http://schemas.openxmlformats.org/officeDocument/2006/relationships/hyperlink" Id="rId166" Target="https://doi.org/10.1109/SC.2014.18" TargetMode="External" /><Relationship Type="http://schemas.openxmlformats.org/officeDocument/2006/relationships/hyperlink" Id="rId195" Target="https://doi.org/10.1109/SERVICES.2015.43" TargetMode="External" /><Relationship Type="http://schemas.openxmlformats.org/officeDocument/2006/relationships/hyperlink" Id="rId158" Target="https://doi.org/10.1145/3147213.3149212" TargetMode="External" /><Relationship Type="http://schemas.openxmlformats.org/officeDocument/2006/relationships/hyperlink" Id="rId104" Target="https://doi.org/10.1145/3526064.3534108" TargetMode="External" /><Relationship Type="http://schemas.openxmlformats.org/officeDocument/2006/relationships/hyperlink" Id="rId154" Target="https://doi.org/10.1145/371920.371965" TargetMode="External" /><Relationship Type="http://schemas.openxmlformats.org/officeDocument/2006/relationships/hyperlink" Id="rId114" Target="https://doi.org/10.17487/RFC1157" TargetMode="External" /><Relationship Type="http://schemas.openxmlformats.org/officeDocument/2006/relationships/hyperlink" Id="rId116" Target="https://doi.org/10.17487/RFC3411" TargetMode="External" /><Relationship Type="http://schemas.openxmlformats.org/officeDocument/2006/relationships/hyperlink" Id="rId184" Target="https://doi.org/10.17487/RFC3986" TargetMode="External" /><Relationship Type="http://schemas.openxmlformats.org/officeDocument/2006/relationships/hyperlink" Id="rId182" Target="https://doi.org/10.17487/RFC6901" TargetMode="External" /><Relationship Type="http://schemas.openxmlformats.org/officeDocument/2006/relationships/hyperlink" Id="rId124" Target="https://doi.org/10.17487/RFC8259" TargetMode="External" /><Relationship Type="http://schemas.openxmlformats.org/officeDocument/2006/relationships/hyperlink" Id="rId164" Target="https://doi.org/10.21203/rs.3.rs-2749012/v1" TargetMode="External" /><Relationship Type="http://schemas.openxmlformats.org/officeDocument/2006/relationships/hyperlink" Id="rId106" Target="https://doi.org/10.3390/electronics13234624" TargetMode="External" /><Relationship Type="http://schemas.openxmlformats.org/officeDocument/2006/relationships/hyperlink" Id="rId170" Target="https://doi.org/10.46586/tches.v2023.i2.1-23" TargetMode="External" /><Relationship Type="http://schemas.openxmlformats.org/officeDocument/2006/relationships/hyperlink" Id="rId168" Target="https://doi.org/10.48550/arXiv.1806.02698" TargetMode="External" /><Relationship Type="http://schemas.openxmlformats.org/officeDocument/2006/relationships/hyperlink" Id="rId146" Target="https://github.com/DMTF/Redfish-Mockup-Creator" TargetMode="External" /><Relationship Type="http://schemas.openxmlformats.org/officeDocument/2006/relationships/hyperlink" Id="rId144" Target="https://github.com/DMTF/Redfish-Mockup-Server" TargetMode="External" /><Relationship Type="http://schemas.openxmlformats.org/officeDocument/2006/relationships/hyperlink" Id="rId150" Target="https://github.com/DMTF/Redfish-Service-Validator" TargetMode="External" /><Relationship Type="http://schemas.openxmlformats.org/officeDocument/2006/relationships/hyperlink" Id="rId174" Target="https://github.com/DMTF/python-redfish-library" TargetMode="External" /><Relationship Type="http://schemas.openxmlformats.org/officeDocument/2006/relationships/hyperlink" Id="rId178" Target="https://github.com/jenningsloy318/redfish_exporter" TargetMode="External" /><Relationship Type="http://schemas.openxmlformats.org/officeDocument/2006/relationships/hyperlink" Id="rId162" Target="https://github.com/nsfcac/MonSter" TargetMode="External" /><Relationship Type="http://schemas.openxmlformats.org/officeDocument/2006/relationships/hyperlink" Id="rId180" Target="https://github.com/openbmc/bmcweb" TargetMode="External" /><Relationship Type="http://schemas.openxmlformats.org/officeDocument/2006/relationships/hyperlink" Id="rId110" Target="https://github.com/openbmc/openbmc" TargetMode="External" /><Relationship Type="http://schemas.openxmlformats.org/officeDocument/2006/relationships/hyperlink" Id="rId108" Target="https://ics.uci.edu/~fielding/pubs/dissertation/top.htm" TargetMode="External" /><Relationship Type="http://schemas.openxmlformats.org/officeDocument/2006/relationships/hyperlink" Id="rId176" Target="https://opendev.org/openstack/sushy" TargetMode="External" /><Relationship Type="http://schemas.openxmlformats.org/officeDocument/2006/relationships/hyperlink" Id="rId142" Target="https://spec.openapis.org/oas/v3.1.1.html" TargetMode="External" /><Relationship Type="http://schemas.openxmlformats.org/officeDocument/2006/relationships/hyperlink" Id="rId128" Target="https://www.dmtf.org/sites/default/files/standards/documents/DSP0218_1.2.0.pdf" TargetMode="External" /><Relationship Type="http://schemas.openxmlformats.org/officeDocument/2006/relationships/hyperlink" Id="rId98" Target="https://www.dmtf.org/sites/default/files/standards/documents/DSP0266_1.25.0.pdf" TargetMode="External" /><Relationship Type="http://schemas.openxmlformats.org/officeDocument/2006/relationships/hyperlink" Id="rId100" Target="https://www.dmtf.org/sites/default/files/standards/documents/DSP0268_2026.2.pdf" TargetMode="External" /><Relationship Type="http://schemas.openxmlformats.org/officeDocument/2006/relationships/hyperlink" Id="rId126" Target="https://www.dmtf.org/sites/default/files/standards/documents/DSP0270_1.3.1.pdf" TargetMode="External" /><Relationship Type="http://schemas.openxmlformats.org/officeDocument/2006/relationships/hyperlink" Id="rId148" Target="https://www.dmtf.org/sites/default/files/standards/documents/DSP0272_1.10.0.pdf" TargetMode="External" /><Relationship Type="http://schemas.openxmlformats.org/officeDocument/2006/relationships/hyperlink" Id="rId118" Target="https://www.dmtf.org/sites/default/files/standards/documents/DSP2044_1.0.0.pdf" TargetMode="External" /><Relationship Type="http://schemas.openxmlformats.org/officeDocument/2006/relationships/hyperlink" Id="rId120" Target="https://www.dmtf.org/sites/default/files/standards/documents/DSP2046_2026.2.pdf" TargetMode="External" /><Relationship Type="http://schemas.openxmlformats.org/officeDocument/2006/relationships/hyperlink" Id="rId136" Target="https://www.dmtf.org/sites/default/files/standards/documents/DSP2052_1.0.0.pdf" TargetMode="External" /><Relationship Type="http://schemas.openxmlformats.org/officeDocument/2006/relationships/hyperlink" Id="rId130" Target="https://www.dmtf.org/sites/default/files/standards/documents/DSP2060_1.1.0.pdf" TargetMode="External" /><Relationship Type="http://schemas.openxmlformats.org/officeDocument/2006/relationships/hyperlink" Id="rId138" Target="https://www.dmtf.org/standards/redfish" TargetMode="External" /><Relationship Type="http://schemas.openxmlformats.org/officeDocument/2006/relationships/hyperlink" Id="rId96" Target="https://www.intel.com/content/dam/www/public/us/en/documents/product-briefs/ipmi-second-gen-interface-spec-v2-rev1-1.pdf" TargetMode="External" /><Relationship Type="http://schemas.openxmlformats.org/officeDocument/2006/relationships/hyperlink" Id="rId122" Target="https://www.snia.org/sites/default/files/technical-work/swordfish/release/v1.2.8/pdf/Swordfish_v1.2.8_Specification.pdf" TargetMode="External" /><Relationship Type="http://schemas.openxmlformats.org/officeDocument/2006/relationships/hyperlink" Id="rId112" Target="https://www.usenix.org/conference/woot13/workshop-program/presentation/bonkosk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Schema-Guided Breadth-First Discovery of Hardware Resources in Heterogeneous Redfish Services</dc:title>
  <dc:creator>[Author Name] — [University Name], [Faculty / Department of Computer Science]; Supervisor: [Supervisor Name]</dc:creator>
  <cp:keywords/>
  <dcterms:created xsi:type="dcterms:W3CDTF">2026-09-19T16:26:36Z</dcterms:created>
  <dcterms:modified xsi:type="dcterms:W3CDTF">2026-09-19T16:26:36Z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../references.bib</vt:lpwstr>
  </property>
  <property fmtid="{D5CDD505-2E9C-101B-9397-08002B2CF9AE}" pid="3" name="csl">
    <vt:lpwstr>ieee.csl</vt:lpwstr>
  </property>
  <property fmtid="{D5CDD505-2E9C-101B-9397-08002B2CF9AE}" pid="4" name="date">
    <vt:lpwstr>[Month Year]</vt:lpwstr>
  </property>
  <property fmtid="{D5CDD505-2E9C-101B-9397-08002B2CF9AE}" pid="5" name="link-citations">
    <vt:lpwstr>True</vt:lpwstr>
  </property>
  <property fmtid="{D5CDD505-2E9C-101B-9397-08002B2CF9AE}" pid="6" name="reference-section-title">
    <vt:lpwstr>Bibliography</vt:lpwstr>
  </property>
  <property fmtid="{D5CDD505-2E9C-101B-9397-08002B2CF9AE}" pid="7" name="subtitle">
    <vt:lpwstr>Master’s Thesis</vt:lpwstr>
  </property>
  <property fmtid="{D5CDD505-2E9C-101B-9397-08002B2CF9AE}" pid="8" name="toc-title">
    <vt:lpwstr>Contents</vt:lpwstr>
  </property>
</Properties>
</file>